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80B6D" w14:textId="36595C40" w:rsidR="00196315" w:rsidRPr="00A77F6C" w:rsidRDefault="00BA5626" w:rsidP="00BA5626">
      <w:pPr>
        <w:pStyle w:val="Ttulo1"/>
        <w:jc w:val="center"/>
        <w:rPr>
          <w:rFonts w:ascii="Verdana" w:hAnsi="Verdana"/>
          <w:color w:val="auto"/>
          <w:sz w:val="20"/>
          <w:szCs w:val="20"/>
        </w:rPr>
      </w:pPr>
      <w:r w:rsidRPr="00A77F6C">
        <w:rPr>
          <w:rFonts w:ascii="Verdana" w:hAnsi="Verdana"/>
          <w:color w:val="auto"/>
          <w:sz w:val="20"/>
          <w:szCs w:val="20"/>
        </w:rPr>
        <w:t>INSUMOS DE SOPORTE ZONA DE MEZCLA TÉRMICA: PROPORCIONALIDAD DEL MONITOREO MEDIANTE FRACCIÓN DE DILUCIÓN</w:t>
      </w:r>
    </w:p>
    <w:p w14:paraId="08852E44" w14:textId="77777777" w:rsidR="00196315" w:rsidRPr="00A77F6C" w:rsidRDefault="00000000">
      <w:pPr>
        <w:pStyle w:val="Ttulo1"/>
        <w:spacing w:after="180"/>
        <w:rPr>
          <w:rFonts w:ascii="Verdana" w:hAnsi="Verdana"/>
          <w:color w:val="auto"/>
          <w:sz w:val="20"/>
          <w:szCs w:val="20"/>
        </w:rPr>
      </w:pPr>
      <w:r w:rsidRPr="00A77F6C">
        <w:rPr>
          <w:rFonts w:ascii="Verdana" w:hAnsi="Verdana"/>
          <w:color w:val="auto"/>
          <w:sz w:val="20"/>
          <w:szCs w:val="20"/>
        </w:rPr>
        <w:t>1. Fracción de dilución: definición y fundamento técnico</w:t>
      </w:r>
    </w:p>
    <w:p w14:paraId="784CABC9" w14:textId="6D63D0C4" w:rsidR="00196315" w:rsidRPr="00A77F6C" w:rsidRDefault="00000000">
      <w:pPr>
        <w:spacing w:after="120" w:line="276" w:lineRule="auto"/>
        <w:jc w:val="both"/>
        <w:rPr>
          <w:rFonts w:ascii="Verdana" w:hAnsi="Verdana"/>
        </w:rPr>
      </w:pPr>
      <w:r w:rsidRPr="00A77F6C">
        <w:rPr>
          <w:rFonts w:ascii="Verdana" w:hAnsi="Verdana"/>
        </w:rPr>
        <w:t>La fracción de dilución (F</w:t>
      </w:r>
      <w:r w:rsidR="001875A1" w:rsidRPr="00A77F6C">
        <w:rPr>
          <w:rFonts w:ascii="Verdana" w:hAnsi="Verdana"/>
        </w:rPr>
        <w:t>D</w:t>
      </w:r>
      <w:r w:rsidRPr="00A77F6C">
        <w:rPr>
          <w:rFonts w:ascii="Verdana" w:hAnsi="Verdana"/>
        </w:rPr>
        <w:t>) es un parámetro adimensional que expresa la proporción entre el caudal de un vertimiento puntual y el caudal del cuerpo de agua receptor en el punto de descarga. Se define como:</w:t>
      </w:r>
    </w:p>
    <w:p w14:paraId="306729FE" w14:textId="0763DC4A" w:rsidR="00196315" w:rsidRPr="00A77F6C" w:rsidRDefault="00000000">
      <w:pPr>
        <w:spacing w:before="200" w:after="200"/>
        <w:jc w:val="center"/>
        <w:rPr>
          <w:rFonts w:ascii="Verdana" w:hAnsi="Verdana"/>
        </w:rPr>
      </w:pPr>
      <w:r w:rsidRPr="00A77F6C">
        <w:rPr>
          <w:rFonts w:ascii="Verdana" w:eastAsia="Cambria Math" w:hAnsi="Verdana" w:cs="Cambria Math"/>
          <w:i/>
          <w:iCs/>
        </w:rPr>
        <w:t>F</w:t>
      </w:r>
      <w:r w:rsidR="001875A1" w:rsidRPr="00A77F6C">
        <w:rPr>
          <w:rFonts w:ascii="Verdana" w:eastAsia="Cambria Math" w:hAnsi="Verdana" w:cs="Cambria Math"/>
          <w:i/>
          <w:iCs/>
        </w:rPr>
        <w:t>D</w:t>
      </w:r>
      <w:r w:rsidRPr="00A77F6C">
        <w:rPr>
          <w:rFonts w:ascii="Verdana" w:eastAsia="Cambria Math" w:hAnsi="Verdana" w:cs="Cambria Math"/>
          <w:i/>
          <w:iCs/>
        </w:rPr>
        <w:t xml:space="preserve"> = Q</w:t>
      </w:r>
      <w:r w:rsidRPr="00A77F6C">
        <w:rPr>
          <w:rFonts w:ascii="Verdana" w:eastAsia="Cambria Math" w:hAnsi="Verdana" w:cs="Cambria Math"/>
          <w:vertAlign w:val="subscript"/>
        </w:rPr>
        <w:t>vert</w:t>
      </w:r>
      <w:r w:rsidRPr="00A77F6C">
        <w:rPr>
          <w:rFonts w:ascii="Verdana" w:eastAsia="Cambria Math" w:hAnsi="Verdana" w:cs="Cambria Math"/>
          <w:i/>
          <w:iCs/>
        </w:rPr>
        <w:t xml:space="preserve"> / Q</w:t>
      </w:r>
      <w:r w:rsidRPr="00A77F6C">
        <w:rPr>
          <w:rFonts w:ascii="Verdana" w:eastAsia="Cambria Math" w:hAnsi="Verdana" w:cs="Cambria Math"/>
          <w:vertAlign w:val="subscript"/>
        </w:rPr>
        <w:t>receptor</w:t>
      </w:r>
    </w:p>
    <w:p w14:paraId="00C2C560" w14:textId="77777777" w:rsidR="00196315" w:rsidRPr="00A77F6C" w:rsidRDefault="00000000">
      <w:pPr>
        <w:spacing w:after="120" w:line="276" w:lineRule="auto"/>
        <w:jc w:val="both"/>
        <w:rPr>
          <w:rFonts w:ascii="Verdana" w:hAnsi="Verdana"/>
        </w:rPr>
      </w:pPr>
      <w:r w:rsidRPr="00A77F6C">
        <w:rPr>
          <w:rFonts w:ascii="Verdana" w:hAnsi="Verdana"/>
        </w:rPr>
        <w:t>Donde:</w:t>
      </w:r>
    </w:p>
    <w:p w14:paraId="4B1AAE05" w14:textId="77777777" w:rsidR="00196315" w:rsidRPr="00A77F6C" w:rsidRDefault="00000000">
      <w:pPr>
        <w:pStyle w:val="Prrafodelista"/>
        <w:numPr>
          <w:ilvl w:val="0"/>
          <w:numId w:val="2"/>
        </w:numPr>
        <w:spacing w:after="120" w:line="276" w:lineRule="auto"/>
        <w:jc w:val="both"/>
        <w:rPr>
          <w:rFonts w:ascii="Verdana" w:hAnsi="Verdana"/>
        </w:rPr>
      </w:pPr>
      <w:r w:rsidRPr="00A77F6C">
        <w:rPr>
          <w:rFonts w:ascii="Verdana" w:hAnsi="Verdana"/>
          <w:i/>
          <w:iCs/>
        </w:rPr>
        <w:t>Q</w:t>
      </w:r>
      <w:r w:rsidRPr="00A77F6C">
        <w:rPr>
          <w:rFonts w:ascii="Verdana" w:hAnsi="Verdana"/>
        </w:rPr>
        <w:t>vert es el caudal del vertimiento puntual, en las mismas unidades de caudal que el receptor.</w:t>
      </w:r>
    </w:p>
    <w:p w14:paraId="5992CDDB" w14:textId="77777777" w:rsidR="00196315" w:rsidRPr="00A77F6C" w:rsidRDefault="00000000">
      <w:pPr>
        <w:pStyle w:val="Prrafodelista"/>
        <w:numPr>
          <w:ilvl w:val="0"/>
          <w:numId w:val="2"/>
        </w:numPr>
        <w:spacing w:after="120" w:line="276" w:lineRule="auto"/>
        <w:jc w:val="both"/>
        <w:rPr>
          <w:rFonts w:ascii="Verdana" w:hAnsi="Verdana"/>
        </w:rPr>
      </w:pPr>
      <w:r w:rsidRPr="00A77F6C">
        <w:rPr>
          <w:rFonts w:ascii="Verdana" w:hAnsi="Verdana"/>
          <w:i/>
          <w:iCs/>
        </w:rPr>
        <w:t>Q</w:t>
      </w:r>
      <w:r w:rsidRPr="00A77F6C">
        <w:rPr>
          <w:rFonts w:ascii="Verdana" w:hAnsi="Verdana"/>
        </w:rPr>
        <w:t>receptor es el caudal del cuerpo de agua receptor en el tramo inmediatamente aguas arriba del punto de descarga, medido bajo condiciones representativas del régimen hidrológico.</w:t>
      </w:r>
    </w:p>
    <w:p w14:paraId="6FF04045" w14:textId="7D7EA13E" w:rsidR="00196315" w:rsidRPr="00A77F6C" w:rsidRDefault="00000000">
      <w:pPr>
        <w:spacing w:after="120" w:line="276" w:lineRule="auto"/>
        <w:jc w:val="both"/>
        <w:rPr>
          <w:rFonts w:ascii="Verdana" w:hAnsi="Verdana"/>
        </w:rPr>
      </w:pPr>
      <w:r w:rsidRPr="00A77F6C">
        <w:rPr>
          <w:rFonts w:ascii="Verdana" w:hAnsi="Verdana"/>
        </w:rPr>
        <w:t>La F</w:t>
      </w:r>
      <w:r w:rsidR="001875A1" w:rsidRPr="00A77F6C">
        <w:rPr>
          <w:rFonts w:ascii="Verdana" w:hAnsi="Verdana"/>
        </w:rPr>
        <w:t>D</w:t>
      </w:r>
      <w:r w:rsidRPr="00A77F6C">
        <w:rPr>
          <w:rFonts w:ascii="Verdana" w:hAnsi="Verdana"/>
        </w:rPr>
        <w:t xml:space="preserve"> toma valores entre 0 y 1 (o puede expresarse en porcentaje). Un valor de F</w:t>
      </w:r>
      <w:r w:rsidR="001875A1" w:rsidRPr="00A77F6C">
        <w:rPr>
          <w:rFonts w:ascii="Verdana" w:hAnsi="Verdana"/>
        </w:rPr>
        <w:t>D</w:t>
      </w:r>
      <w:r w:rsidRPr="00A77F6C">
        <w:rPr>
          <w:rFonts w:ascii="Verdana" w:hAnsi="Verdana"/>
        </w:rPr>
        <w:t xml:space="preserve"> cercano a cero indica que el vertimiento es insignificante respecto al caudal del cuerpo receptor; un valor cercano a 1 indica que el vertimiento es del mismo orden de magnitud que el caudal receptor, lo cual implica un potencial de alteración elevado.</w:t>
      </w:r>
    </w:p>
    <w:p w14:paraId="6EDE7E9D" w14:textId="77777777" w:rsidR="00196315" w:rsidRPr="00A77F6C" w:rsidRDefault="00000000">
      <w:pPr>
        <w:spacing w:after="120" w:line="276" w:lineRule="auto"/>
        <w:jc w:val="both"/>
        <w:rPr>
          <w:rFonts w:ascii="Verdana" w:hAnsi="Verdana"/>
        </w:rPr>
      </w:pPr>
      <w:r w:rsidRPr="00A77F6C">
        <w:rPr>
          <w:rFonts w:ascii="Verdana" w:hAnsi="Verdana"/>
        </w:rPr>
        <w:t>Este concepto es ampliamente utilizado en la ingeniería ambiental e hidráulica para dimensionar el impacto potencial de una descarga sobre un cuerpo receptor. A continuación se presenta el fundamento bibliográfico:</w:t>
      </w:r>
    </w:p>
    <w:p w14:paraId="68AC4E6F" w14:textId="64DD63DF" w:rsidR="00196315" w:rsidRPr="00A77F6C" w:rsidRDefault="00000000">
      <w:pPr>
        <w:spacing w:after="120" w:line="276" w:lineRule="auto"/>
        <w:jc w:val="both"/>
        <w:rPr>
          <w:rFonts w:ascii="Verdana" w:hAnsi="Verdana"/>
        </w:rPr>
      </w:pPr>
      <w:r w:rsidRPr="00A77F6C">
        <w:rPr>
          <w:rFonts w:ascii="Verdana" w:hAnsi="Verdana"/>
          <w:i/>
          <w:iCs/>
        </w:rPr>
        <w:t xml:space="preserve">Fischer, H. B., List, E. J., Koh, R. C. Y., Imberger, J. &amp; Brooks, N. H. (1979). </w:t>
      </w:r>
      <w:r w:rsidRPr="00A77F6C">
        <w:rPr>
          <w:rFonts w:ascii="Verdana" w:hAnsi="Verdana"/>
          <w:b/>
          <w:bCs/>
          <w:i/>
          <w:iCs/>
          <w:lang w:val="en-US"/>
        </w:rPr>
        <w:t xml:space="preserve">Mixing in Inland and Coastal Waters. </w:t>
      </w:r>
      <w:r w:rsidRPr="00A77F6C">
        <w:rPr>
          <w:rFonts w:ascii="Verdana" w:hAnsi="Verdana"/>
          <w:lang w:val="en-US"/>
        </w:rPr>
        <w:t xml:space="preserve">Academic Press, New York. </w:t>
      </w:r>
      <w:r w:rsidRPr="00A77F6C">
        <w:rPr>
          <w:rFonts w:ascii="Verdana" w:hAnsi="Verdana"/>
        </w:rPr>
        <w:t>En el capítulo dedicado a la mezcla de efluentes en corrientes de agua, Fischer et al. demuestran que la concentración de un contaminante aguas abajo del punto de descarga, una vez alcanzada la mezcla completa, se determina mediante un balance de masa que depende directamente de la relación de caudales entre el efluente y el cuerpo receptor. La fracción de dilución (F</w:t>
      </w:r>
      <w:r w:rsidR="001875A1" w:rsidRPr="00A77F6C">
        <w:rPr>
          <w:rFonts w:ascii="Verdana" w:hAnsi="Verdana"/>
        </w:rPr>
        <w:t>D</w:t>
      </w:r>
      <w:r w:rsidRPr="00A77F6C">
        <w:rPr>
          <w:rFonts w:ascii="Verdana" w:hAnsi="Verdana"/>
        </w:rPr>
        <w:t>) gobierna el grado en que las propiedades del vertimiento (temperatura, concentración de sustancias) se transmiten al cuerpo receptor: a menor Fd, mayor es la capacidad del cuerpo receptor para asimilar la descarga sin alteración significativa de sus condiciones naturales.</w:t>
      </w:r>
    </w:p>
    <w:p w14:paraId="3549ECD7" w14:textId="5BE0D624" w:rsidR="00196315" w:rsidRPr="00A77F6C" w:rsidRDefault="00000000">
      <w:pPr>
        <w:spacing w:after="120" w:line="276" w:lineRule="auto"/>
        <w:jc w:val="both"/>
        <w:rPr>
          <w:rFonts w:ascii="Verdana" w:hAnsi="Verdana"/>
        </w:rPr>
      </w:pPr>
      <w:r w:rsidRPr="00A77F6C">
        <w:rPr>
          <w:rFonts w:ascii="Verdana" w:hAnsi="Verdana"/>
          <w:i/>
          <w:iCs/>
          <w:lang w:val="en-US"/>
        </w:rPr>
        <w:t xml:space="preserve">Jirka, G. H., Doneker, R. L. &amp; Hinton, S. W. (1996). </w:t>
      </w:r>
      <w:r w:rsidRPr="00A77F6C">
        <w:rPr>
          <w:rFonts w:ascii="Verdana" w:hAnsi="Verdana"/>
          <w:b/>
          <w:bCs/>
          <w:i/>
          <w:iCs/>
          <w:lang w:val="en-US"/>
        </w:rPr>
        <w:t xml:space="preserve">User’s Manual for CORMIX: A Hydrodynamic Mixing Zone Model and Decision Support System for Pollutant Discharges into Surface Waters. </w:t>
      </w:r>
      <w:r w:rsidRPr="00A77F6C">
        <w:rPr>
          <w:rFonts w:ascii="Verdana" w:hAnsi="Verdana"/>
        </w:rPr>
        <w:t>U.S. Environmental Protection Agency, EPA/600/R-96/012. El sistema CORMIX, desarrollado para la EPA, emplea la fracción de dilución como variable primaria de entrada para clasificar el régimen de mezcla de un vertimiento en el cuerpo receptor. El modelo establece que para fracciones de dilución bajas (F</w:t>
      </w:r>
      <w:r w:rsidR="001875A1" w:rsidRPr="00A77F6C">
        <w:rPr>
          <w:rFonts w:ascii="Verdana" w:hAnsi="Verdana"/>
        </w:rPr>
        <w:t>D</w:t>
      </w:r>
      <w:r w:rsidRPr="00A77F6C">
        <w:rPr>
          <w:rFonts w:ascii="Verdana" w:hAnsi="Verdana"/>
        </w:rPr>
        <w:t xml:space="preserve"> &lt; 0,1 a 0,2), el campo cercano de la pluma del vertimiento se disipa rápidamente y la zona de mezcla tiende a ser corta, mientras que para fracciones elevadas la pluma puede extenderse significativamente aguas abajo.</w:t>
      </w:r>
    </w:p>
    <w:p w14:paraId="2634D2EE" w14:textId="77777777" w:rsidR="00196315" w:rsidRPr="00A77F6C" w:rsidRDefault="00000000">
      <w:pPr>
        <w:spacing w:after="120" w:line="276" w:lineRule="auto"/>
        <w:jc w:val="both"/>
        <w:rPr>
          <w:rFonts w:ascii="Verdana" w:hAnsi="Verdana"/>
        </w:rPr>
      </w:pPr>
      <w:r w:rsidRPr="00A77F6C">
        <w:rPr>
          <w:rFonts w:ascii="Verdana" w:hAnsi="Verdana"/>
          <w:i/>
          <w:iCs/>
          <w:lang w:val="en-US"/>
        </w:rPr>
        <w:lastRenderedPageBreak/>
        <w:t xml:space="preserve">Doneker, R. L. &amp; Jirka, G. H. (2007). </w:t>
      </w:r>
      <w:r w:rsidRPr="00A77F6C">
        <w:rPr>
          <w:rFonts w:ascii="Verdana" w:hAnsi="Verdana"/>
          <w:b/>
          <w:bCs/>
          <w:i/>
          <w:iCs/>
          <w:lang w:val="en-US"/>
        </w:rPr>
        <w:t xml:space="preserve">CORMIX User Manual: A Hydrodynamic Mixing Zone Model. </w:t>
      </w:r>
      <w:r w:rsidRPr="00A77F6C">
        <w:rPr>
          <w:rFonts w:ascii="Verdana" w:hAnsi="Verdana"/>
        </w:rPr>
        <w:t>MixZon Inc. &amp; Institute for Hydromechanics, Karlsruhe. Esta versión actualizada del manual de CORMIX profundiza en la clasificación de regímenes de mezcla según la relación de caudales, estableciendo que vertimientos con fracciones de dilución inferiores a 0,15 presentan una dilución inicial tan elevada que la alteración de las propiedades del receptor (incluyendo temperatura) resulta prácticamente indetectable a distancias cortas del punto de descarga.</w:t>
      </w:r>
    </w:p>
    <w:p w14:paraId="538CAEAE" w14:textId="54185E2E" w:rsidR="00196315" w:rsidRPr="00A77F6C" w:rsidRDefault="00000000">
      <w:pPr>
        <w:spacing w:after="120" w:line="276" w:lineRule="auto"/>
        <w:jc w:val="both"/>
        <w:rPr>
          <w:rFonts w:ascii="Verdana" w:hAnsi="Verdana"/>
        </w:rPr>
      </w:pPr>
      <w:r w:rsidRPr="00A77F6C">
        <w:rPr>
          <w:rFonts w:ascii="Verdana" w:hAnsi="Verdana"/>
          <w:i/>
          <w:iCs/>
        </w:rPr>
        <w:t xml:space="preserve">Guía Nacional de Modelación del Recurso Hídrico para Aguas Superficiales Continentales (MinAmbiente, 2018). </w:t>
      </w:r>
      <w:r w:rsidRPr="00A77F6C">
        <w:rPr>
          <w:rFonts w:ascii="Verdana" w:hAnsi="Verdana"/>
        </w:rPr>
        <w:t>La guía expedida por el Ministerio de Ambiente adopta implícitamente el concepto de fracción de dilución al exigir que la estimación de la zona de mezcla considere las condiciones críticas del cuerpo receptor (caudales mínimos) y la relación entre el caudal del vertimiento y el caudal de la fuente. La guía reconoce que la longitud de la zona de mezcla es función directa de esta relación, validando el uso de la F</w:t>
      </w:r>
      <w:r w:rsidR="001875A1" w:rsidRPr="00A77F6C">
        <w:rPr>
          <w:rFonts w:ascii="Verdana" w:hAnsi="Verdana"/>
        </w:rPr>
        <w:t>D</w:t>
      </w:r>
      <w:r w:rsidRPr="00A77F6C">
        <w:rPr>
          <w:rFonts w:ascii="Verdana" w:hAnsi="Verdana"/>
        </w:rPr>
        <w:t xml:space="preserve"> como criterio diferenciador para el monitoreo.</w:t>
      </w:r>
    </w:p>
    <w:p w14:paraId="57162838" w14:textId="77777777" w:rsidR="00196315" w:rsidRPr="00A77F6C" w:rsidRDefault="00000000">
      <w:pPr>
        <w:spacing w:after="120" w:line="276" w:lineRule="auto"/>
        <w:jc w:val="both"/>
        <w:rPr>
          <w:rFonts w:ascii="Verdana" w:hAnsi="Verdana"/>
        </w:rPr>
      </w:pPr>
      <w:r w:rsidRPr="00A77F6C">
        <w:rPr>
          <w:rFonts w:ascii="Verdana" w:hAnsi="Verdana"/>
        </w:rPr>
        <w:t>En síntesis, la literatura técnica y los modelos regulatorios internacionales coinciden en que la fracción de dilución es el indicador más robusto para predimensionar el impacto potencial de un vertimiento sobre el cuerpo receptor y, en consecuencia, para modular proporcionalmente las exigencias de monitoreo.</w:t>
      </w:r>
    </w:p>
    <w:p w14:paraId="0811D27A" w14:textId="3D66F39D" w:rsidR="00196315" w:rsidRPr="00A77F6C" w:rsidRDefault="00000000">
      <w:pPr>
        <w:pStyle w:val="Ttulo1"/>
        <w:spacing w:after="180"/>
        <w:rPr>
          <w:rFonts w:ascii="Verdana" w:hAnsi="Verdana"/>
          <w:color w:val="auto"/>
          <w:sz w:val="20"/>
          <w:szCs w:val="20"/>
        </w:rPr>
      </w:pPr>
      <w:r w:rsidRPr="00A77F6C">
        <w:rPr>
          <w:rFonts w:ascii="Verdana" w:hAnsi="Verdana"/>
          <w:color w:val="auto"/>
          <w:sz w:val="20"/>
          <w:szCs w:val="20"/>
        </w:rPr>
        <w:t xml:space="preserve">2. </w:t>
      </w:r>
      <w:r w:rsidR="006958D8">
        <w:rPr>
          <w:rFonts w:ascii="Verdana" w:hAnsi="Verdana"/>
          <w:color w:val="auto"/>
          <w:sz w:val="20"/>
          <w:szCs w:val="20"/>
        </w:rPr>
        <w:t>Consideraciones tecnicas</w:t>
      </w:r>
    </w:p>
    <w:p w14:paraId="2EC4358A" w14:textId="4B32B7BA" w:rsidR="00196315" w:rsidRPr="00A77F6C" w:rsidRDefault="00000000">
      <w:pPr>
        <w:pStyle w:val="Ttulo2"/>
        <w:rPr>
          <w:rFonts w:ascii="Verdana" w:hAnsi="Verdana"/>
          <w:color w:val="auto"/>
          <w:sz w:val="20"/>
          <w:szCs w:val="20"/>
        </w:rPr>
      </w:pPr>
      <w:r w:rsidRPr="00A77F6C">
        <w:rPr>
          <w:rFonts w:ascii="Verdana" w:hAnsi="Verdana"/>
          <w:color w:val="auto"/>
          <w:sz w:val="20"/>
          <w:szCs w:val="20"/>
        </w:rPr>
        <w:t>2.1. Exigencia de</w:t>
      </w:r>
      <w:r w:rsidR="00BA5626" w:rsidRPr="00A77F6C">
        <w:rPr>
          <w:rFonts w:ascii="Verdana" w:hAnsi="Verdana"/>
          <w:color w:val="auto"/>
          <w:sz w:val="20"/>
          <w:szCs w:val="20"/>
        </w:rPr>
        <w:t xml:space="preserve"> medición del</w:t>
      </w:r>
      <w:r w:rsidRPr="00A77F6C">
        <w:rPr>
          <w:rFonts w:ascii="Verdana" w:hAnsi="Verdana"/>
          <w:color w:val="auto"/>
          <w:sz w:val="20"/>
          <w:szCs w:val="20"/>
        </w:rPr>
        <w:t xml:space="preserve"> P</w:t>
      </w:r>
      <w:r w:rsidR="00BA5626" w:rsidRPr="00A77F6C">
        <w:rPr>
          <w:rFonts w:ascii="Verdana" w:hAnsi="Verdana"/>
          <w:color w:val="auto"/>
          <w:sz w:val="20"/>
          <w:szCs w:val="20"/>
        </w:rPr>
        <w:t xml:space="preserve">rotocolo de </w:t>
      </w:r>
      <w:r w:rsidRPr="00A77F6C">
        <w:rPr>
          <w:rFonts w:ascii="Verdana" w:hAnsi="Verdana"/>
          <w:color w:val="auto"/>
          <w:sz w:val="20"/>
          <w:szCs w:val="20"/>
        </w:rPr>
        <w:t>M</w:t>
      </w:r>
      <w:r w:rsidR="00BA5626" w:rsidRPr="00A77F6C">
        <w:rPr>
          <w:rFonts w:ascii="Verdana" w:hAnsi="Verdana"/>
          <w:color w:val="auto"/>
          <w:sz w:val="20"/>
          <w:szCs w:val="20"/>
        </w:rPr>
        <w:t xml:space="preserve">onitoreo de </w:t>
      </w:r>
      <w:r w:rsidRPr="00A77F6C">
        <w:rPr>
          <w:rFonts w:ascii="Verdana" w:hAnsi="Verdana"/>
          <w:color w:val="auto"/>
          <w:sz w:val="20"/>
          <w:szCs w:val="20"/>
        </w:rPr>
        <w:t>V</w:t>
      </w:r>
      <w:r w:rsidR="00BA5626" w:rsidRPr="00A77F6C">
        <w:rPr>
          <w:rFonts w:ascii="Verdana" w:hAnsi="Verdana"/>
          <w:color w:val="auto"/>
          <w:sz w:val="20"/>
          <w:szCs w:val="20"/>
        </w:rPr>
        <w:t>ertimientos</w:t>
      </w:r>
    </w:p>
    <w:p w14:paraId="3846B0D9" w14:textId="77777777" w:rsidR="00196315" w:rsidRPr="00A77F6C" w:rsidRDefault="00000000">
      <w:pPr>
        <w:spacing w:after="120" w:line="276" w:lineRule="auto"/>
        <w:jc w:val="both"/>
        <w:rPr>
          <w:rFonts w:ascii="Verdana" w:hAnsi="Verdana"/>
        </w:rPr>
      </w:pPr>
      <w:r w:rsidRPr="00A77F6C">
        <w:rPr>
          <w:rFonts w:ascii="Verdana" w:hAnsi="Verdana"/>
        </w:rPr>
        <w:t>La Sección 7 del PMVA desarrolla la metodología para el monitoreo del parámetro de temperatura y zona de mezcla térmica en cumplimiento del artículo 5 de la Resolución 631 de 2015. Para el Caso 2b (longitud de zona de mezcla ≥ 100 m, usuarios distintos a generación termoeléctrica), el protocolo exige mediciones de temperatura en múltiples puntos de la sección transversal del cauce a 100 metros aguas abajo del vertimiento, aplicando la metodología del molinete hidrométrico conforme a la norma ISO 748:2021 y la Guía de Prácticas Hidrológicas de la OMM. En particular, el PMVA requiere:</w:t>
      </w:r>
    </w:p>
    <w:p w14:paraId="0AFB33C6" w14:textId="77777777" w:rsidR="00196315" w:rsidRPr="00A77F6C" w:rsidRDefault="00000000">
      <w:pPr>
        <w:pStyle w:val="Prrafodelista"/>
        <w:numPr>
          <w:ilvl w:val="0"/>
          <w:numId w:val="2"/>
        </w:numPr>
        <w:spacing w:after="120" w:line="276" w:lineRule="auto"/>
        <w:jc w:val="both"/>
        <w:rPr>
          <w:rFonts w:ascii="Verdana" w:hAnsi="Verdana"/>
        </w:rPr>
      </w:pPr>
      <w:r w:rsidRPr="00A77F6C">
        <w:rPr>
          <w:rFonts w:ascii="Verdana" w:hAnsi="Verdana"/>
        </w:rPr>
        <w:t>Determinación del número de verticales en la sección transversal según el ancho del cauce (Tabla 7 del PMVA), con un mínimo de 5 verticales para cauces de hasta 5 metros y un criterio de espaciamiento que no supere 1/20 del ancho total.</w:t>
      </w:r>
    </w:p>
    <w:p w14:paraId="61FDFC95" w14:textId="77777777" w:rsidR="00196315" w:rsidRPr="00A77F6C" w:rsidRDefault="00000000">
      <w:pPr>
        <w:pStyle w:val="Prrafodelista"/>
        <w:numPr>
          <w:ilvl w:val="0"/>
          <w:numId w:val="2"/>
        </w:numPr>
        <w:spacing w:after="120" w:line="276" w:lineRule="auto"/>
        <w:jc w:val="both"/>
        <w:rPr>
          <w:rFonts w:ascii="Verdana" w:hAnsi="Verdana"/>
        </w:rPr>
      </w:pPr>
      <w:r w:rsidRPr="00A77F6C">
        <w:rPr>
          <w:rFonts w:ascii="Verdana" w:hAnsi="Verdana"/>
        </w:rPr>
        <w:t>Mediciones de temperatura a diferentes profundidades en cada vertical (Tabla 8 del PMVA), siguiendo métodos de uno, dos, tres o cinco puntos según la profundidad, con protocolos de estabilización del sensor y cumplimiento de la NTC-ISO/IEC 17025.</w:t>
      </w:r>
    </w:p>
    <w:p w14:paraId="67CFCF2C" w14:textId="77777777" w:rsidR="00196315" w:rsidRPr="00A77F6C" w:rsidRDefault="00000000">
      <w:pPr>
        <w:pStyle w:val="Prrafodelista"/>
        <w:numPr>
          <w:ilvl w:val="0"/>
          <w:numId w:val="2"/>
        </w:numPr>
        <w:spacing w:after="120" w:line="276" w:lineRule="auto"/>
        <w:jc w:val="both"/>
        <w:rPr>
          <w:rFonts w:ascii="Verdana" w:hAnsi="Verdana"/>
        </w:rPr>
      </w:pPr>
      <w:r w:rsidRPr="00A77F6C">
        <w:rPr>
          <w:rFonts w:ascii="Verdana" w:hAnsi="Verdana"/>
        </w:rPr>
        <w:t>Comparación uno a uno entre la temperatura aguas arriba del vertimiento (T1) y cada punto Ti de la sección transversal a 100 m aguas abajo, verificando que todos los diferenciales sean ≤ 5,00 °C (Tabla 6 del PMVA).</w:t>
      </w:r>
    </w:p>
    <w:p w14:paraId="2A4BAC2B" w14:textId="77777777" w:rsidR="00196315" w:rsidRPr="00A77F6C" w:rsidRDefault="00000000">
      <w:pPr>
        <w:spacing w:after="120" w:line="276" w:lineRule="auto"/>
        <w:jc w:val="both"/>
        <w:rPr>
          <w:rFonts w:ascii="Verdana" w:hAnsi="Verdana"/>
        </w:rPr>
      </w:pPr>
      <w:r w:rsidRPr="00A77F6C">
        <w:rPr>
          <w:rFonts w:ascii="Verdana" w:hAnsi="Verdana"/>
        </w:rPr>
        <w:t>Esta exigencia es uniforme: se aplica idénticamente a todo usuario cuya longitud de zona de mezcla sea ≥ 100 m, sin considerar la magnitud relativa del vertimiento respecto al cuerpo receptor.</w:t>
      </w:r>
    </w:p>
    <w:p w14:paraId="3418B7A7" w14:textId="38985486" w:rsidR="00196315" w:rsidRPr="00A77F6C" w:rsidRDefault="00000000">
      <w:pPr>
        <w:pStyle w:val="Ttulo2"/>
        <w:rPr>
          <w:rFonts w:ascii="Verdana" w:hAnsi="Verdana"/>
          <w:color w:val="auto"/>
          <w:sz w:val="20"/>
          <w:szCs w:val="20"/>
        </w:rPr>
      </w:pPr>
      <w:r w:rsidRPr="00A77F6C">
        <w:rPr>
          <w:rFonts w:ascii="Verdana" w:hAnsi="Verdana"/>
          <w:color w:val="auto"/>
          <w:sz w:val="20"/>
          <w:szCs w:val="20"/>
        </w:rPr>
        <w:t xml:space="preserve">2.2. </w:t>
      </w:r>
      <w:r w:rsidR="001875A1" w:rsidRPr="00A77F6C">
        <w:rPr>
          <w:rFonts w:ascii="Verdana" w:hAnsi="Verdana"/>
          <w:color w:val="auto"/>
          <w:sz w:val="20"/>
          <w:szCs w:val="20"/>
        </w:rPr>
        <w:t>Gradualidad técnica</w:t>
      </w:r>
    </w:p>
    <w:p w14:paraId="236EC124" w14:textId="6771535F" w:rsidR="00196315" w:rsidRPr="00A77F6C" w:rsidRDefault="00000000">
      <w:pPr>
        <w:spacing w:after="120" w:line="276" w:lineRule="auto"/>
        <w:jc w:val="both"/>
        <w:rPr>
          <w:rFonts w:ascii="Verdana" w:hAnsi="Verdana"/>
        </w:rPr>
      </w:pPr>
      <w:r w:rsidRPr="00A77F6C">
        <w:rPr>
          <w:rFonts w:ascii="Verdana" w:hAnsi="Verdana"/>
        </w:rPr>
        <w:lastRenderedPageBreak/>
        <w:t>Se propone incorporar en la Sección 7 del PMVA (Caso 2b – Longitud de zona de mezcla ≥ 100 m, usuarios distintos a generación termoeléctrica) un criterio diferenciador basado en la fracción de dilución (F</w:t>
      </w:r>
      <w:r w:rsidR="001875A1" w:rsidRPr="00A77F6C">
        <w:rPr>
          <w:rFonts w:ascii="Verdana" w:hAnsi="Verdana"/>
        </w:rPr>
        <w:t>D</w:t>
      </w:r>
      <w:r w:rsidRPr="00A77F6C">
        <w:rPr>
          <w:rFonts w:ascii="Verdana" w:hAnsi="Verdana"/>
        </w:rPr>
        <w:t>), que module la intensidad del monitoreo térmico en tres niveles:</w:t>
      </w:r>
    </w:p>
    <w:p w14:paraId="6AF44F54" w14:textId="3232C6AA" w:rsidR="00196315" w:rsidRPr="00A77F6C" w:rsidRDefault="00BA5626">
      <w:pPr>
        <w:pStyle w:val="Ttulo2"/>
        <w:rPr>
          <w:rFonts w:ascii="Verdana" w:hAnsi="Verdana"/>
          <w:color w:val="auto"/>
          <w:sz w:val="20"/>
          <w:szCs w:val="20"/>
        </w:rPr>
      </w:pPr>
      <w:r w:rsidRPr="00A77F6C">
        <w:rPr>
          <w:rFonts w:ascii="Verdana" w:hAnsi="Verdana"/>
          <w:color w:val="auto"/>
          <w:sz w:val="20"/>
          <w:szCs w:val="20"/>
        </w:rPr>
        <w:t>2.</w:t>
      </w:r>
      <w:r w:rsidR="00EC71B6">
        <w:rPr>
          <w:rFonts w:ascii="Verdana" w:hAnsi="Verdana"/>
          <w:color w:val="auto"/>
          <w:sz w:val="20"/>
          <w:szCs w:val="20"/>
        </w:rPr>
        <w:t>2.</w:t>
      </w:r>
      <w:r w:rsidRPr="00A77F6C">
        <w:rPr>
          <w:rFonts w:ascii="Verdana" w:hAnsi="Verdana"/>
          <w:color w:val="auto"/>
          <w:sz w:val="20"/>
          <w:szCs w:val="20"/>
        </w:rPr>
        <w:t>1. Nivel 1 – Exención de monitoreo en sección transversal (F</w:t>
      </w:r>
      <w:r w:rsidR="001875A1" w:rsidRPr="00A77F6C">
        <w:rPr>
          <w:rFonts w:ascii="Verdana" w:hAnsi="Verdana"/>
          <w:color w:val="auto"/>
          <w:sz w:val="20"/>
          <w:szCs w:val="20"/>
        </w:rPr>
        <w:t>D</w:t>
      </w:r>
      <w:r w:rsidRPr="00A77F6C">
        <w:rPr>
          <w:rFonts w:ascii="Verdana" w:hAnsi="Verdana"/>
          <w:color w:val="auto"/>
          <w:sz w:val="20"/>
          <w:szCs w:val="20"/>
        </w:rPr>
        <w:t xml:space="preserve"> &lt; 0,15)</w:t>
      </w:r>
    </w:p>
    <w:p w14:paraId="39942DC5" w14:textId="33E8BF58" w:rsidR="00196315" w:rsidRPr="00A77F6C" w:rsidRDefault="00000000">
      <w:pPr>
        <w:spacing w:after="120" w:line="276" w:lineRule="auto"/>
        <w:jc w:val="both"/>
        <w:rPr>
          <w:rFonts w:ascii="Verdana" w:hAnsi="Verdana"/>
        </w:rPr>
      </w:pPr>
      <w:r w:rsidRPr="00A77F6C">
        <w:rPr>
          <w:rFonts w:ascii="Verdana" w:hAnsi="Verdana"/>
          <w:b/>
          <w:bCs/>
        </w:rPr>
        <w:t xml:space="preserve">Criterio de aplicación: </w:t>
      </w:r>
      <w:r w:rsidRPr="00A77F6C">
        <w:rPr>
          <w:rFonts w:ascii="Verdana" w:hAnsi="Verdana"/>
        </w:rPr>
        <w:t>cuando la fracción de dilución F</w:t>
      </w:r>
      <w:r w:rsidR="001875A1" w:rsidRPr="00A77F6C">
        <w:rPr>
          <w:rFonts w:ascii="Verdana" w:hAnsi="Verdana"/>
        </w:rPr>
        <w:t>D</w:t>
      </w:r>
      <w:r w:rsidRPr="00A77F6C">
        <w:rPr>
          <w:rFonts w:ascii="Verdana" w:hAnsi="Verdana"/>
        </w:rPr>
        <w:t xml:space="preserve"> = Q_vert / Q_receptor sea inferior a 0,15 (es decir, el caudal del vertimiento representa menos del 15% del caudal del cuerpo receptor en el punto de descarga).</w:t>
      </w:r>
    </w:p>
    <w:p w14:paraId="04ACB9E8" w14:textId="77777777" w:rsidR="00196315" w:rsidRPr="00A77F6C" w:rsidRDefault="00000000">
      <w:pPr>
        <w:spacing w:after="120" w:line="276" w:lineRule="auto"/>
        <w:jc w:val="both"/>
        <w:rPr>
          <w:rFonts w:ascii="Verdana" w:hAnsi="Verdana"/>
        </w:rPr>
      </w:pPr>
      <w:r w:rsidRPr="00A77F6C">
        <w:rPr>
          <w:rFonts w:ascii="Verdana" w:hAnsi="Verdana"/>
          <w:b/>
          <w:bCs/>
        </w:rPr>
        <w:t xml:space="preserve">Monitoreo requerido: </w:t>
      </w:r>
      <w:r w:rsidRPr="00A77F6C">
        <w:rPr>
          <w:rFonts w:ascii="Verdana" w:hAnsi="Verdana"/>
        </w:rPr>
        <w:t>el usuario solo deberá reportar (i) la temperatura del vertimiento en el Punto de Control del Vertimiento (PCV), y (ii) la temperatura del cuerpo receptor en un punto aguas arriba (T1), conforme a los criterios generales de ubicación ya establecidos en el PMVA. No se requerirán mediciones de temperatura en sección transversal a 100 m aguas abajo.</w:t>
      </w:r>
    </w:p>
    <w:p w14:paraId="7164BCDD" w14:textId="696D2AB9" w:rsidR="00196315" w:rsidRPr="00A77F6C" w:rsidRDefault="00000000">
      <w:pPr>
        <w:spacing w:after="120" w:line="276" w:lineRule="auto"/>
        <w:jc w:val="both"/>
        <w:rPr>
          <w:rFonts w:ascii="Verdana" w:hAnsi="Verdana"/>
        </w:rPr>
      </w:pPr>
      <w:r w:rsidRPr="00A77F6C">
        <w:rPr>
          <w:rFonts w:ascii="Verdana" w:hAnsi="Verdana"/>
          <w:b/>
          <w:bCs/>
        </w:rPr>
        <w:t xml:space="preserve">Justificación: </w:t>
      </w:r>
      <w:r w:rsidRPr="00A77F6C">
        <w:rPr>
          <w:rFonts w:ascii="Verdana" w:hAnsi="Verdana"/>
        </w:rPr>
        <w:t>para F</w:t>
      </w:r>
      <w:r w:rsidR="001875A1" w:rsidRPr="00A77F6C">
        <w:rPr>
          <w:rFonts w:ascii="Verdana" w:hAnsi="Verdana"/>
        </w:rPr>
        <w:t>D</w:t>
      </w:r>
      <w:r w:rsidRPr="00A77F6C">
        <w:rPr>
          <w:rFonts w:ascii="Verdana" w:hAnsi="Verdana"/>
        </w:rPr>
        <w:t xml:space="preserve"> &lt; 0,15, la capacidad de dilución del cuerpo receptor es superior a 6,7 veces el caudal del vertimiento. El incremento máximo teórico de temperatura en el receptor, bajo el balance de masa más conservador (mezcla completa, sin atenuación por transferencia de calor), es Fd × ΔT_inicial. Aun para un ΔT_inicial de 20 °C (valor extremo para usuarios no termoeléctricos), el incremento sería de 3,0 °C, por debajo del umbral de 5,0 °C. A distancias de 100 m, la dispersión longitudinal y la transferencia de calor reducen aún más este diferencial, haciendo que la variabilidad transversal de temperatura sea indistinguible de la variabilidad natural del cauce.</w:t>
      </w:r>
    </w:p>
    <w:p w14:paraId="40AE6458" w14:textId="60FC34EF" w:rsidR="00196315" w:rsidRPr="00A77F6C" w:rsidRDefault="00BA5626">
      <w:pPr>
        <w:pStyle w:val="Ttulo2"/>
        <w:rPr>
          <w:rFonts w:ascii="Verdana" w:hAnsi="Verdana"/>
          <w:color w:val="auto"/>
          <w:sz w:val="20"/>
          <w:szCs w:val="20"/>
        </w:rPr>
      </w:pPr>
      <w:r w:rsidRPr="00A77F6C">
        <w:rPr>
          <w:rFonts w:ascii="Verdana" w:hAnsi="Verdana"/>
          <w:color w:val="auto"/>
          <w:sz w:val="20"/>
          <w:szCs w:val="20"/>
        </w:rPr>
        <w:t>2.2.</w:t>
      </w:r>
      <w:r w:rsidR="00EC71B6">
        <w:rPr>
          <w:rFonts w:ascii="Verdana" w:hAnsi="Verdana"/>
          <w:color w:val="auto"/>
          <w:sz w:val="20"/>
          <w:szCs w:val="20"/>
        </w:rPr>
        <w:t>2</w:t>
      </w:r>
      <w:r w:rsidRPr="00A77F6C">
        <w:rPr>
          <w:rFonts w:ascii="Verdana" w:hAnsi="Verdana"/>
          <w:color w:val="auto"/>
          <w:sz w:val="20"/>
          <w:szCs w:val="20"/>
        </w:rPr>
        <w:t xml:space="preserve"> Nivel 2 – Monitoreo simplificado (0,15 ≤ F</w:t>
      </w:r>
      <w:r w:rsidR="001875A1" w:rsidRPr="00A77F6C">
        <w:rPr>
          <w:rFonts w:ascii="Verdana" w:hAnsi="Verdana"/>
          <w:color w:val="auto"/>
          <w:sz w:val="20"/>
          <w:szCs w:val="20"/>
        </w:rPr>
        <w:t>D</w:t>
      </w:r>
      <w:r w:rsidRPr="00A77F6C">
        <w:rPr>
          <w:rFonts w:ascii="Verdana" w:hAnsi="Verdana"/>
          <w:color w:val="auto"/>
          <w:sz w:val="20"/>
          <w:szCs w:val="20"/>
        </w:rPr>
        <w:t xml:space="preserve"> ≤ 0,20)</w:t>
      </w:r>
    </w:p>
    <w:p w14:paraId="7D4C59C2" w14:textId="77777777" w:rsidR="00196315" w:rsidRPr="00A77F6C" w:rsidRDefault="00000000">
      <w:pPr>
        <w:spacing w:after="120" w:line="276" w:lineRule="auto"/>
        <w:jc w:val="both"/>
        <w:rPr>
          <w:rFonts w:ascii="Verdana" w:hAnsi="Verdana"/>
        </w:rPr>
      </w:pPr>
      <w:r w:rsidRPr="00A77F6C">
        <w:rPr>
          <w:rFonts w:ascii="Verdana" w:hAnsi="Verdana"/>
          <w:b/>
          <w:bCs/>
        </w:rPr>
        <w:t xml:space="preserve">Criterio de aplicación: </w:t>
      </w:r>
      <w:r w:rsidRPr="00A77F6C">
        <w:rPr>
          <w:rFonts w:ascii="Verdana" w:hAnsi="Verdana"/>
        </w:rPr>
        <w:t>cuando la fracción de dilución se encuentre entre 0,15 y 0,20 (inclusive).</w:t>
      </w:r>
    </w:p>
    <w:p w14:paraId="751C66DA" w14:textId="4921E144" w:rsidR="00196315" w:rsidRPr="00A77F6C" w:rsidRDefault="00000000">
      <w:pPr>
        <w:spacing w:after="120" w:line="276" w:lineRule="auto"/>
        <w:jc w:val="both"/>
        <w:rPr>
          <w:rFonts w:ascii="Verdana" w:hAnsi="Verdana"/>
        </w:rPr>
      </w:pPr>
      <w:r w:rsidRPr="00A77F6C">
        <w:rPr>
          <w:rFonts w:ascii="Verdana" w:hAnsi="Verdana"/>
          <w:b/>
          <w:bCs/>
        </w:rPr>
        <w:t xml:space="preserve">Monitoreo requerido: </w:t>
      </w:r>
      <w:r w:rsidRPr="00A77F6C">
        <w:rPr>
          <w:rFonts w:ascii="Verdana" w:hAnsi="Verdana"/>
        </w:rPr>
        <w:t>además de la temperatura en el PCV y en T1, el usuario deberá realizar una medición de temperatura en un único punto del cauce a una distancia longitudinal máxima de 100 m aguas abajo del punto de descarga, ubicado en el centro de la sección transversal</w:t>
      </w:r>
      <w:r w:rsidR="00E311F0" w:rsidRPr="00A77F6C">
        <w:rPr>
          <w:rFonts w:ascii="Verdana" w:hAnsi="Verdana"/>
        </w:rPr>
        <w:t xml:space="preserve"> (para descargar realizadas en el centro del cuerpo de agua) o ubicando el punto de lectura en la trayectoria esperada del eje de la pluma térmica (para descargas laterales)</w:t>
      </w:r>
      <w:r w:rsidRPr="00A77F6C">
        <w:rPr>
          <w:rFonts w:ascii="Verdana" w:hAnsi="Verdana"/>
        </w:rPr>
        <w:t>, a una profundidad de 0,6 veces la profundidad total (0,6h). La diferencia entre T1 y esta medición puntual deberá ser ≤ 5,00 °C.</w:t>
      </w:r>
    </w:p>
    <w:p w14:paraId="5DA2B14E" w14:textId="21DCD4A2" w:rsidR="00196315" w:rsidRPr="00A77F6C" w:rsidRDefault="00000000">
      <w:pPr>
        <w:spacing w:after="120" w:line="276" w:lineRule="auto"/>
        <w:jc w:val="both"/>
        <w:rPr>
          <w:rFonts w:ascii="Verdana" w:hAnsi="Verdana"/>
        </w:rPr>
      </w:pPr>
      <w:r w:rsidRPr="00A77F6C">
        <w:rPr>
          <w:rFonts w:ascii="Verdana" w:hAnsi="Verdana"/>
          <w:b/>
          <w:bCs/>
        </w:rPr>
        <w:t xml:space="preserve">Justificación: </w:t>
      </w:r>
      <w:r w:rsidRPr="00A77F6C">
        <w:rPr>
          <w:rFonts w:ascii="Verdana" w:hAnsi="Verdana"/>
        </w:rPr>
        <w:t>en el rango de F</w:t>
      </w:r>
      <w:r w:rsidR="00E311F0" w:rsidRPr="00A77F6C">
        <w:rPr>
          <w:rFonts w:ascii="Verdana" w:hAnsi="Verdana"/>
        </w:rPr>
        <w:t>D</w:t>
      </w:r>
      <w:r w:rsidRPr="00A77F6C">
        <w:rPr>
          <w:rFonts w:ascii="Verdana" w:hAnsi="Verdana"/>
        </w:rPr>
        <w:t xml:space="preserve"> entre 0,15 y 0,20, el impacto térmico es detectable pero moderado. La medición a 0,6h en el centro de la sección captura la velocidad media de la vertical conforme al método estándar de un solo punto (OMM, 2020; ISO 748:2021) y proporciona una estimación representativa de la temperatura promedio de la sección sin requerir la batimetría completa</w:t>
      </w:r>
      <w:r w:rsidR="00E311F0" w:rsidRPr="00A77F6C">
        <w:rPr>
          <w:rFonts w:ascii="Verdana" w:hAnsi="Verdana"/>
        </w:rPr>
        <w:t>; por otra parte, para vertimientos laterales orientar la medición hacia el eje de la pluma térmica asegura que se evalúe el escenario más conservador del perfil de temperaturas, evitando falsos negativos en casos de corrientes con baja turbulencia o vertimientos lateralizados que tarden más en dispersarse.</w:t>
      </w:r>
      <w:r w:rsidRPr="00A77F6C">
        <w:rPr>
          <w:rFonts w:ascii="Verdana" w:hAnsi="Verdana"/>
        </w:rPr>
        <w:t xml:space="preserve"> Bleninger y Jirka (2008) confirman que en este rango de F</w:t>
      </w:r>
      <w:r w:rsidR="00E311F0" w:rsidRPr="00A77F6C">
        <w:rPr>
          <w:rFonts w:ascii="Verdana" w:hAnsi="Verdana"/>
        </w:rPr>
        <w:t>D</w:t>
      </w:r>
      <w:r w:rsidRPr="00A77F6C">
        <w:rPr>
          <w:rFonts w:ascii="Verdana" w:hAnsi="Verdana"/>
        </w:rPr>
        <w:t xml:space="preserve"> la variabilidad transversal de temperatura es baja y puede evaluarse adecuadamente con una medición central.</w:t>
      </w:r>
      <w:r w:rsidR="001875A1" w:rsidRPr="00A77F6C">
        <w:rPr>
          <w:rFonts w:ascii="Verdana" w:hAnsi="Verdana"/>
        </w:rPr>
        <w:t xml:space="preserve"> A su vez, al realizar balance de masas en cuerpos de agua de ancho mediano a considerable (como proporcionalidad del su caudal representativo) </w:t>
      </w:r>
      <w:r w:rsidR="001875A1" w:rsidRPr="00A77F6C">
        <w:rPr>
          <w:rFonts w:ascii="Verdana" w:hAnsi="Verdana"/>
        </w:rPr>
        <w:lastRenderedPageBreak/>
        <w:t>la fracción de dilución para la cual se sobrepasaría un delta T de 5,00 °C. tiende a converger a 0.2</w:t>
      </w:r>
    </w:p>
    <w:p w14:paraId="4578DDC5" w14:textId="59FD1B7B" w:rsidR="00196315" w:rsidRPr="00A77F6C" w:rsidRDefault="00BA5626">
      <w:pPr>
        <w:pStyle w:val="Ttulo2"/>
        <w:rPr>
          <w:rFonts w:ascii="Verdana" w:hAnsi="Verdana"/>
          <w:color w:val="auto"/>
          <w:sz w:val="20"/>
          <w:szCs w:val="20"/>
        </w:rPr>
      </w:pPr>
      <w:r w:rsidRPr="00A77F6C">
        <w:rPr>
          <w:rFonts w:ascii="Verdana" w:hAnsi="Verdana"/>
          <w:color w:val="auto"/>
          <w:sz w:val="20"/>
          <w:szCs w:val="20"/>
        </w:rPr>
        <w:t>2.</w:t>
      </w:r>
      <w:r w:rsidR="00EC71B6">
        <w:rPr>
          <w:rFonts w:ascii="Verdana" w:hAnsi="Verdana"/>
          <w:color w:val="auto"/>
          <w:sz w:val="20"/>
          <w:szCs w:val="20"/>
        </w:rPr>
        <w:t>2.</w:t>
      </w:r>
      <w:r w:rsidRPr="00A77F6C">
        <w:rPr>
          <w:rFonts w:ascii="Verdana" w:hAnsi="Verdana"/>
          <w:color w:val="auto"/>
          <w:sz w:val="20"/>
          <w:szCs w:val="20"/>
        </w:rPr>
        <w:t>3. Nivel 3 – Monitoreo completo (FD &gt; 0,20)</w:t>
      </w:r>
    </w:p>
    <w:p w14:paraId="48E09FA3" w14:textId="77777777" w:rsidR="00196315" w:rsidRPr="00A77F6C" w:rsidRDefault="00000000">
      <w:pPr>
        <w:spacing w:after="120" w:line="276" w:lineRule="auto"/>
        <w:jc w:val="both"/>
        <w:rPr>
          <w:rFonts w:ascii="Verdana" w:hAnsi="Verdana"/>
        </w:rPr>
      </w:pPr>
      <w:r w:rsidRPr="00A77F6C">
        <w:rPr>
          <w:rFonts w:ascii="Verdana" w:hAnsi="Verdana"/>
          <w:b/>
          <w:bCs/>
        </w:rPr>
        <w:t xml:space="preserve">Criterio de aplicación: </w:t>
      </w:r>
      <w:r w:rsidRPr="00A77F6C">
        <w:rPr>
          <w:rFonts w:ascii="Verdana" w:hAnsi="Verdana"/>
        </w:rPr>
        <w:t>cuando la fracción de dilución supere 0,20 (el caudal del vertimiento representa más del 20% del caudal del cuerpo receptor).</w:t>
      </w:r>
    </w:p>
    <w:p w14:paraId="6C591E95" w14:textId="77777777" w:rsidR="00196315" w:rsidRPr="00A77F6C" w:rsidRDefault="00000000">
      <w:pPr>
        <w:spacing w:after="120" w:line="276" w:lineRule="auto"/>
        <w:jc w:val="both"/>
        <w:rPr>
          <w:rFonts w:ascii="Verdana" w:hAnsi="Verdana"/>
        </w:rPr>
      </w:pPr>
      <w:r w:rsidRPr="00A77F6C">
        <w:rPr>
          <w:rFonts w:ascii="Verdana" w:hAnsi="Verdana"/>
          <w:b/>
          <w:bCs/>
        </w:rPr>
        <w:t xml:space="preserve">Monitoreo requerido: </w:t>
      </w:r>
      <w:r w:rsidRPr="00A77F6C">
        <w:rPr>
          <w:rFonts w:ascii="Verdana" w:hAnsi="Verdana"/>
        </w:rPr>
        <w:t>se aplicará la metodología completa de medición de temperatura en sección transversal actualmente establecida en el PMVA para el Caso 2b, incluyendo la determinación del número de verticales según Tabla 7, las mediciones a diferentes profundidades según Tabla 8, y la comparación uno a uno entre T1 y cada Ti conforme a Tabla 6.</w:t>
      </w:r>
    </w:p>
    <w:p w14:paraId="31F72953" w14:textId="77777777" w:rsidR="00196315" w:rsidRPr="00A77F6C" w:rsidRDefault="00000000">
      <w:pPr>
        <w:spacing w:after="120" w:line="276" w:lineRule="auto"/>
        <w:jc w:val="both"/>
        <w:rPr>
          <w:rFonts w:ascii="Verdana" w:hAnsi="Verdana"/>
        </w:rPr>
      </w:pPr>
      <w:r w:rsidRPr="00A77F6C">
        <w:rPr>
          <w:rFonts w:ascii="Verdana" w:hAnsi="Verdana"/>
          <w:b/>
          <w:bCs/>
        </w:rPr>
        <w:t xml:space="preserve">Justificación: </w:t>
      </w:r>
      <w:r w:rsidRPr="00A77F6C">
        <w:rPr>
          <w:rFonts w:ascii="Verdana" w:hAnsi="Verdana"/>
        </w:rPr>
        <w:t>cuando el caudal del vertimiento supera el 20% del caudal receptor, la pluma térmica puede ocupar una fracción significativa de la sección transversal y la variabilidad lateral de temperatura se vuelve relevante. El monitoreo completo en sección transversal está plenamente justificado para capturar la distribución espacial del campo térmico y verificar el cumplimiento del ΔT ≤ 5,00 °C en todos los puntos.</w:t>
      </w:r>
    </w:p>
    <w:p w14:paraId="71F91DE8" w14:textId="441C3E3F" w:rsidR="00196315" w:rsidRPr="00A77F6C" w:rsidRDefault="00BA5626">
      <w:pPr>
        <w:pStyle w:val="Ttulo2"/>
        <w:rPr>
          <w:rFonts w:ascii="Verdana" w:hAnsi="Verdana"/>
          <w:color w:val="auto"/>
          <w:sz w:val="20"/>
          <w:szCs w:val="20"/>
        </w:rPr>
      </w:pPr>
      <w:r w:rsidRPr="00A77F6C">
        <w:rPr>
          <w:rFonts w:ascii="Verdana" w:hAnsi="Verdana"/>
          <w:color w:val="auto"/>
          <w:sz w:val="20"/>
          <w:szCs w:val="20"/>
        </w:rPr>
        <w:t>2.</w:t>
      </w:r>
      <w:r w:rsidR="00EC71B6">
        <w:rPr>
          <w:rFonts w:ascii="Verdana" w:hAnsi="Verdana"/>
          <w:color w:val="auto"/>
          <w:sz w:val="20"/>
          <w:szCs w:val="20"/>
        </w:rPr>
        <w:t>2.</w:t>
      </w:r>
      <w:r w:rsidRPr="00A77F6C">
        <w:rPr>
          <w:rFonts w:ascii="Verdana" w:hAnsi="Verdana"/>
          <w:color w:val="auto"/>
          <w:sz w:val="20"/>
          <w:szCs w:val="20"/>
        </w:rPr>
        <w:t>4. Condiciones transversales a los tres niveles</w:t>
      </w:r>
    </w:p>
    <w:p w14:paraId="7CFD356E" w14:textId="125E2BA7" w:rsidR="00196315" w:rsidRPr="00A77F6C" w:rsidRDefault="00000000">
      <w:pPr>
        <w:spacing w:after="120" w:line="276" w:lineRule="auto"/>
        <w:jc w:val="both"/>
        <w:rPr>
          <w:rFonts w:ascii="Verdana" w:hAnsi="Verdana"/>
        </w:rPr>
      </w:pPr>
      <w:r w:rsidRPr="00A77F6C">
        <w:rPr>
          <w:rFonts w:ascii="Verdana" w:hAnsi="Verdana"/>
          <w:b/>
          <w:bCs/>
        </w:rPr>
        <w:t xml:space="preserve">Determinación de Q_receptor: </w:t>
      </w:r>
      <w:r w:rsidRPr="00A77F6C">
        <w:rPr>
          <w:rFonts w:ascii="Verdana" w:hAnsi="Verdana"/>
        </w:rPr>
        <w:t>el caudal del cuerpo receptor se determinará a partir de la información hidrológica disponible para el tramo de interés. Se privilegiará el uso de registros de estaciones hidrométricas del IDEAM</w:t>
      </w:r>
      <w:r w:rsidR="001875A1" w:rsidRPr="00A77F6C">
        <w:rPr>
          <w:rFonts w:ascii="Verdana" w:hAnsi="Verdana"/>
        </w:rPr>
        <w:t xml:space="preserve"> o de la Autoridad Ambiental Competente</w:t>
      </w:r>
      <w:r w:rsidRPr="00A77F6C">
        <w:rPr>
          <w:rFonts w:ascii="Verdana" w:hAnsi="Verdana"/>
        </w:rPr>
        <w:t xml:space="preserve">. Para la clasificación del usuario en un nivel, </w:t>
      </w:r>
      <w:r w:rsidR="00A77F6C" w:rsidRPr="00A77F6C">
        <w:rPr>
          <w:rFonts w:ascii="Verdana" w:hAnsi="Verdana"/>
        </w:rPr>
        <w:t>se realizará utilizando un caudal representativo de condiciones de estiaje del cuerpo receptor (por ejemplo, el caudal mínimo mensual medio multianual o el percentil de excedencia Q75); Esto previene que una alta dilución aparente en épocas de lluvia enmascare impactos térmicos severos en temporadas secas. En ausencia de registros directos, este caudal de estiaje se podrá estimar mediante métodos indirectos avalados por la literatura hidrológica (curvas de duración de caudales, métodos de regionalización).</w:t>
      </w:r>
    </w:p>
    <w:p w14:paraId="0616F527" w14:textId="77075EA7" w:rsidR="00A77F6C" w:rsidRPr="00A77F6C" w:rsidRDefault="00A77F6C" w:rsidP="00A77F6C">
      <w:pPr>
        <w:spacing w:after="120" w:line="276" w:lineRule="auto"/>
        <w:jc w:val="both"/>
        <w:rPr>
          <w:rFonts w:ascii="Verdana" w:hAnsi="Verdana"/>
        </w:rPr>
      </w:pPr>
      <w:r w:rsidRPr="00A77F6C">
        <w:rPr>
          <w:rFonts w:ascii="Verdana" w:hAnsi="Verdana"/>
          <w:b/>
          <w:bCs/>
        </w:rPr>
        <w:t>Determinación de Q_vertimiento:</w:t>
      </w:r>
      <w:r w:rsidRPr="00A77F6C">
        <w:rPr>
          <w:rFonts w:ascii="Verdana" w:hAnsi="Verdana"/>
        </w:rPr>
        <w:t xml:space="preserve"> El caudal del vertimiento corresponderá al caudal máximo autorizado o medido de la descarga. Para el caso de vertimientos intermitentes o por lotes (batch), se deberá emplear el caudal máximo instantáneo de la descarga para el cálculo de la fracción de dilución, asegurando así la evaluación bajo el escenario de mayor impacto potencial.</w:t>
      </w:r>
    </w:p>
    <w:p w14:paraId="18428FEB" w14:textId="77777777" w:rsidR="00A77F6C" w:rsidRPr="00A77F6C" w:rsidRDefault="00A77F6C">
      <w:pPr>
        <w:spacing w:after="120" w:line="276" w:lineRule="auto"/>
        <w:jc w:val="both"/>
        <w:rPr>
          <w:rFonts w:ascii="Verdana" w:hAnsi="Verdana"/>
        </w:rPr>
      </w:pPr>
    </w:p>
    <w:p w14:paraId="18F7A963" w14:textId="77777777" w:rsidR="00196315" w:rsidRPr="00A77F6C" w:rsidRDefault="00000000">
      <w:pPr>
        <w:spacing w:after="120" w:line="276" w:lineRule="auto"/>
        <w:jc w:val="both"/>
        <w:rPr>
          <w:rFonts w:ascii="Verdana" w:hAnsi="Verdana"/>
        </w:rPr>
      </w:pPr>
      <w:r w:rsidRPr="00A77F6C">
        <w:rPr>
          <w:rFonts w:ascii="Verdana" w:hAnsi="Verdana"/>
          <w:b/>
          <w:bCs/>
        </w:rPr>
        <w:t xml:space="preserve">Reclasificación: </w:t>
      </w:r>
      <w:r w:rsidRPr="00A77F6C">
        <w:rPr>
          <w:rFonts w:ascii="Verdana" w:hAnsi="Verdana"/>
        </w:rPr>
        <w:t>el nivel de monitoreo asignado deberá reevaluarse cuando: (i) el usuario modifique el caudal de su vertimiento (ampliación, reducción), (ii) la autoridad ambiental actualice la información hidrológica del cuerpo receptor, o (iii) la autoridad ambiental determine, en ejercicio del rigor subsidiario, que las condiciones del tramo requieren un nivel de monitoreo superior.</w:t>
      </w:r>
    </w:p>
    <w:p w14:paraId="7029E825" w14:textId="7A4E9BFB" w:rsidR="00196315" w:rsidRPr="00A77F6C" w:rsidRDefault="00000000">
      <w:pPr>
        <w:spacing w:after="120" w:line="276" w:lineRule="auto"/>
        <w:jc w:val="both"/>
        <w:rPr>
          <w:rFonts w:ascii="Verdana" w:hAnsi="Verdana"/>
        </w:rPr>
      </w:pPr>
      <w:r w:rsidRPr="00A77F6C">
        <w:rPr>
          <w:rFonts w:ascii="Verdana" w:hAnsi="Verdana"/>
          <w:b/>
          <w:bCs/>
        </w:rPr>
        <w:t xml:space="preserve">Documentación: </w:t>
      </w:r>
      <w:r w:rsidRPr="00A77F6C">
        <w:rPr>
          <w:rFonts w:ascii="Verdana" w:hAnsi="Verdana"/>
        </w:rPr>
        <w:t>el usuario deberá incluir en el Plan de Monitoreo de Vertimiento la estimación de la fracción de dilución con sus soportes (aforo del vertimiento</w:t>
      </w:r>
      <w:r w:rsidR="00BA5626" w:rsidRPr="00A77F6C">
        <w:rPr>
          <w:rFonts w:ascii="Verdana" w:hAnsi="Verdana"/>
        </w:rPr>
        <w:t xml:space="preserve"> o estimación del caudal descargado en caso de ser presuntivo</w:t>
      </w:r>
      <w:r w:rsidRPr="00A77F6C">
        <w:rPr>
          <w:rFonts w:ascii="Verdana" w:hAnsi="Verdana"/>
        </w:rPr>
        <w:t xml:space="preserve">, fuente de información del caudal receptor, cálculo de </w:t>
      </w:r>
      <w:r w:rsidRPr="00A77F6C">
        <w:rPr>
          <w:rFonts w:ascii="Verdana" w:hAnsi="Verdana"/>
        </w:rPr>
        <w:lastRenderedPageBreak/>
        <w:t>F</w:t>
      </w:r>
      <w:r w:rsidR="00BA5626" w:rsidRPr="00A77F6C">
        <w:rPr>
          <w:rFonts w:ascii="Verdana" w:hAnsi="Verdana"/>
        </w:rPr>
        <w:t>D</w:t>
      </w:r>
      <w:r w:rsidRPr="00A77F6C">
        <w:rPr>
          <w:rFonts w:ascii="Verdana" w:hAnsi="Verdana"/>
        </w:rPr>
        <w:t>), y el nivel de monitoreo térmico resultante. La autoridad ambiental verificará esta clasificación en el proceso de seguimiento.</w:t>
      </w:r>
    </w:p>
    <w:p w14:paraId="47FE71EE" w14:textId="6B083740" w:rsidR="00196315" w:rsidRPr="00A77F6C" w:rsidRDefault="00000000" w:rsidP="00BA5626">
      <w:pPr>
        <w:spacing w:after="120" w:line="276" w:lineRule="auto"/>
        <w:jc w:val="both"/>
        <w:rPr>
          <w:rFonts w:ascii="Verdana" w:hAnsi="Verdana"/>
        </w:rPr>
      </w:pPr>
      <w:r w:rsidRPr="00A77F6C">
        <w:rPr>
          <w:rFonts w:ascii="Verdana" w:hAnsi="Verdana"/>
          <w:b/>
          <w:bCs/>
        </w:rPr>
        <w:t xml:space="preserve">Límite de temperatura del vertimiento: </w:t>
      </w:r>
      <w:r w:rsidRPr="00A77F6C">
        <w:rPr>
          <w:rFonts w:ascii="Verdana" w:hAnsi="Verdana"/>
        </w:rPr>
        <w:t>en todos los casos, independientemente del nivel de monitoreo asignado, el vertimiento no podrá superar el límite máximo permisible de 40,00 °C en el PCV, conforme al artículo 5 de la Resolución 631 de 2015.</w:t>
      </w:r>
    </w:p>
    <w:p w14:paraId="07659A85" w14:textId="04F12005" w:rsidR="00196315" w:rsidRPr="00A77F6C" w:rsidRDefault="00BA5626">
      <w:pPr>
        <w:pStyle w:val="Ttulo1"/>
        <w:spacing w:after="180"/>
        <w:rPr>
          <w:rFonts w:ascii="Verdana" w:hAnsi="Verdana"/>
          <w:color w:val="auto"/>
          <w:sz w:val="20"/>
          <w:szCs w:val="20"/>
        </w:rPr>
      </w:pPr>
      <w:r w:rsidRPr="00A77F6C">
        <w:rPr>
          <w:rFonts w:ascii="Verdana" w:hAnsi="Verdana"/>
          <w:color w:val="auto"/>
          <w:sz w:val="20"/>
          <w:szCs w:val="20"/>
        </w:rPr>
        <w:t>3. Tabla resumen de la propuesta</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17"/>
        <w:gridCol w:w="1860"/>
        <w:gridCol w:w="2454"/>
        <w:gridCol w:w="1925"/>
        <w:gridCol w:w="1884"/>
      </w:tblGrid>
      <w:tr w:rsidR="00196315" w:rsidRPr="00A77F6C" w14:paraId="66C61BC3" w14:textId="77777777" w:rsidTr="00BA5626">
        <w:tc>
          <w:tcPr>
            <w:tcW w:w="1300" w:type="dxa"/>
            <w:tcBorders>
              <w:top w:val="single" w:sz="1" w:space="0" w:color="999999"/>
              <w:left w:val="single" w:sz="1" w:space="0" w:color="999999"/>
              <w:bottom w:val="single" w:sz="1" w:space="0" w:color="999999"/>
              <w:right w:val="single" w:sz="1" w:space="0" w:color="999999"/>
            </w:tcBorders>
            <w:shd w:val="clear" w:color="auto" w:fill="388600"/>
            <w:tcMar>
              <w:top w:w="60" w:type="dxa"/>
              <w:left w:w="100" w:type="dxa"/>
              <w:bottom w:w="60" w:type="dxa"/>
              <w:right w:w="100" w:type="dxa"/>
            </w:tcMar>
            <w:vAlign w:val="center"/>
          </w:tcPr>
          <w:p w14:paraId="5FE598BC" w14:textId="77777777" w:rsidR="00196315" w:rsidRPr="00A77F6C" w:rsidRDefault="00000000" w:rsidP="00BA5626">
            <w:pPr>
              <w:jc w:val="center"/>
              <w:rPr>
                <w:rFonts w:ascii="Verdana" w:hAnsi="Verdana"/>
              </w:rPr>
            </w:pPr>
            <w:r w:rsidRPr="00A77F6C">
              <w:rPr>
                <w:rFonts w:ascii="Verdana" w:hAnsi="Verdana"/>
                <w:b/>
                <w:bCs/>
                <w:color w:val="FFFFFF"/>
              </w:rPr>
              <w:t>Nivel</w:t>
            </w:r>
          </w:p>
        </w:tc>
        <w:tc>
          <w:tcPr>
            <w:tcW w:w="1900" w:type="dxa"/>
            <w:tcBorders>
              <w:top w:val="single" w:sz="1" w:space="0" w:color="999999"/>
              <w:left w:val="single" w:sz="1" w:space="0" w:color="999999"/>
              <w:bottom w:val="single" w:sz="1" w:space="0" w:color="999999"/>
              <w:right w:val="single" w:sz="1" w:space="0" w:color="999999"/>
            </w:tcBorders>
            <w:shd w:val="clear" w:color="auto" w:fill="388600"/>
            <w:tcMar>
              <w:top w:w="60" w:type="dxa"/>
              <w:left w:w="100" w:type="dxa"/>
              <w:bottom w:w="60" w:type="dxa"/>
              <w:right w:w="100" w:type="dxa"/>
            </w:tcMar>
            <w:vAlign w:val="center"/>
          </w:tcPr>
          <w:p w14:paraId="06215BE3" w14:textId="77777777" w:rsidR="00196315" w:rsidRPr="00A77F6C" w:rsidRDefault="00000000" w:rsidP="00BA5626">
            <w:pPr>
              <w:jc w:val="center"/>
              <w:rPr>
                <w:rFonts w:ascii="Verdana" w:hAnsi="Verdana"/>
              </w:rPr>
            </w:pPr>
            <w:r w:rsidRPr="00A77F6C">
              <w:rPr>
                <w:rFonts w:ascii="Verdana" w:hAnsi="Verdana"/>
                <w:b/>
                <w:bCs/>
                <w:color w:val="FFFFFF"/>
              </w:rPr>
              <w:t>Fracción de dilución (Fd)</w:t>
            </w:r>
          </w:p>
        </w:tc>
        <w:tc>
          <w:tcPr>
            <w:tcW w:w="2500" w:type="dxa"/>
            <w:tcBorders>
              <w:top w:val="single" w:sz="1" w:space="0" w:color="999999"/>
              <w:left w:val="single" w:sz="1" w:space="0" w:color="999999"/>
              <w:bottom w:val="single" w:sz="1" w:space="0" w:color="999999"/>
              <w:right w:val="single" w:sz="1" w:space="0" w:color="999999"/>
            </w:tcBorders>
            <w:shd w:val="clear" w:color="auto" w:fill="388600"/>
            <w:tcMar>
              <w:top w:w="60" w:type="dxa"/>
              <w:left w:w="100" w:type="dxa"/>
              <w:bottom w:w="60" w:type="dxa"/>
              <w:right w:w="100" w:type="dxa"/>
            </w:tcMar>
            <w:vAlign w:val="center"/>
          </w:tcPr>
          <w:p w14:paraId="48CEC30B" w14:textId="77777777" w:rsidR="00196315" w:rsidRPr="00A77F6C" w:rsidRDefault="00000000" w:rsidP="00BA5626">
            <w:pPr>
              <w:jc w:val="center"/>
              <w:rPr>
                <w:rFonts w:ascii="Verdana" w:hAnsi="Verdana"/>
              </w:rPr>
            </w:pPr>
            <w:r w:rsidRPr="00A77F6C">
              <w:rPr>
                <w:rFonts w:ascii="Verdana" w:hAnsi="Verdana"/>
                <w:b/>
                <w:bCs/>
                <w:color w:val="FFFFFF"/>
              </w:rPr>
              <w:t>Monitoreo térmico requerido</w:t>
            </w:r>
          </w:p>
        </w:tc>
        <w:tc>
          <w:tcPr>
            <w:tcW w:w="1940" w:type="dxa"/>
            <w:tcBorders>
              <w:top w:val="single" w:sz="1" w:space="0" w:color="999999"/>
              <w:left w:val="single" w:sz="1" w:space="0" w:color="999999"/>
              <w:bottom w:val="single" w:sz="1" w:space="0" w:color="999999"/>
              <w:right w:val="single" w:sz="1" w:space="0" w:color="999999"/>
            </w:tcBorders>
            <w:shd w:val="clear" w:color="auto" w:fill="388600"/>
            <w:tcMar>
              <w:top w:w="60" w:type="dxa"/>
              <w:left w:w="100" w:type="dxa"/>
              <w:bottom w:w="60" w:type="dxa"/>
              <w:right w:w="100" w:type="dxa"/>
            </w:tcMar>
            <w:vAlign w:val="center"/>
          </w:tcPr>
          <w:p w14:paraId="3F1D63F3" w14:textId="77777777" w:rsidR="00196315" w:rsidRPr="00A77F6C" w:rsidRDefault="00000000" w:rsidP="00BA5626">
            <w:pPr>
              <w:jc w:val="center"/>
              <w:rPr>
                <w:rFonts w:ascii="Verdana" w:hAnsi="Verdana"/>
              </w:rPr>
            </w:pPr>
            <w:r w:rsidRPr="00A77F6C">
              <w:rPr>
                <w:rFonts w:ascii="Verdana" w:hAnsi="Verdana"/>
                <w:b/>
                <w:bCs/>
                <w:color w:val="FFFFFF"/>
              </w:rPr>
              <w:t>Fundamento técnico principal</w:t>
            </w:r>
          </w:p>
        </w:tc>
        <w:tc>
          <w:tcPr>
            <w:tcW w:w="1900" w:type="dxa"/>
            <w:tcBorders>
              <w:top w:val="single" w:sz="1" w:space="0" w:color="999999"/>
              <w:left w:val="single" w:sz="1" w:space="0" w:color="999999"/>
              <w:bottom w:val="single" w:sz="1" w:space="0" w:color="999999"/>
              <w:right w:val="single" w:sz="1" w:space="0" w:color="999999"/>
            </w:tcBorders>
            <w:shd w:val="clear" w:color="auto" w:fill="388600"/>
            <w:tcMar>
              <w:top w:w="60" w:type="dxa"/>
              <w:left w:w="100" w:type="dxa"/>
              <w:bottom w:w="60" w:type="dxa"/>
              <w:right w:w="100" w:type="dxa"/>
            </w:tcMar>
            <w:vAlign w:val="center"/>
          </w:tcPr>
          <w:p w14:paraId="65902AC8" w14:textId="77777777" w:rsidR="00196315" w:rsidRPr="00A77F6C" w:rsidRDefault="00000000" w:rsidP="00BA5626">
            <w:pPr>
              <w:jc w:val="center"/>
              <w:rPr>
                <w:rFonts w:ascii="Verdana" w:hAnsi="Verdana"/>
              </w:rPr>
            </w:pPr>
            <w:r w:rsidRPr="00A77F6C">
              <w:rPr>
                <w:rFonts w:ascii="Verdana" w:hAnsi="Verdana"/>
                <w:b/>
                <w:bCs/>
                <w:color w:val="FFFFFF"/>
              </w:rPr>
              <w:t>Referencia bibliográfica</w:t>
            </w:r>
          </w:p>
        </w:tc>
      </w:tr>
      <w:tr w:rsidR="00196315" w:rsidRPr="006958D8" w14:paraId="22AA07B5" w14:textId="77777777" w:rsidTr="00BA5626">
        <w:tc>
          <w:tcPr>
            <w:tcW w:w="13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923F143" w14:textId="77777777" w:rsidR="00196315" w:rsidRPr="00A77F6C" w:rsidRDefault="00000000" w:rsidP="00BA5626">
            <w:pPr>
              <w:spacing w:after="40"/>
              <w:jc w:val="center"/>
              <w:rPr>
                <w:rFonts w:ascii="Verdana" w:hAnsi="Verdana"/>
              </w:rPr>
            </w:pPr>
            <w:r w:rsidRPr="00A77F6C">
              <w:rPr>
                <w:rFonts w:ascii="Verdana" w:hAnsi="Verdana"/>
              </w:rPr>
              <w:t>1 – Exención</w:t>
            </w:r>
          </w:p>
        </w:tc>
        <w:tc>
          <w:tcPr>
            <w:tcW w:w="1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2EB86FB" w14:textId="77777777" w:rsidR="00196315" w:rsidRPr="00A77F6C" w:rsidRDefault="00000000" w:rsidP="00BA5626">
            <w:pPr>
              <w:spacing w:after="40"/>
              <w:jc w:val="center"/>
              <w:rPr>
                <w:rFonts w:ascii="Verdana" w:hAnsi="Verdana"/>
              </w:rPr>
            </w:pPr>
            <w:r w:rsidRPr="00A77F6C">
              <w:rPr>
                <w:rFonts w:ascii="Verdana" w:hAnsi="Verdana"/>
              </w:rPr>
              <w:t>Fd &lt; 0,15</w:t>
            </w:r>
          </w:p>
        </w:tc>
        <w:tc>
          <w:tcPr>
            <w:tcW w:w="25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0A63DC0" w14:textId="77777777" w:rsidR="00196315" w:rsidRPr="00A77F6C" w:rsidRDefault="00000000" w:rsidP="00BA5626">
            <w:pPr>
              <w:spacing w:after="40"/>
              <w:jc w:val="center"/>
              <w:rPr>
                <w:rFonts w:ascii="Verdana" w:hAnsi="Verdana"/>
              </w:rPr>
            </w:pPr>
            <w:r w:rsidRPr="00A77F6C">
              <w:rPr>
                <w:rFonts w:ascii="Verdana" w:hAnsi="Verdana"/>
              </w:rPr>
              <w:t>Temperatura en PCV y en T1 únicamente. Sin mediciones en sección transversal a 100 m aguas abajo.</w:t>
            </w:r>
          </w:p>
        </w:tc>
        <w:tc>
          <w:tcPr>
            <w:tcW w:w="194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749BBE2C" w14:textId="77777777" w:rsidR="00196315" w:rsidRPr="00A77F6C" w:rsidRDefault="00000000" w:rsidP="00BA5626">
            <w:pPr>
              <w:spacing w:after="40"/>
              <w:jc w:val="center"/>
              <w:rPr>
                <w:rFonts w:ascii="Verdana" w:hAnsi="Verdana"/>
              </w:rPr>
            </w:pPr>
            <w:r w:rsidRPr="00A77F6C">
              <w:rPr>
                <w:rFonts w:ascii="Verdana" w:hAnsi="Verdana"/>
              </w:rPr>
              <w:t>ΔT máximo teórico &lt; 3,0 °C para ΔT_inicial de 20 °C; dilución inicial disipa la pluma en el campo cercano.</w:t>
            </w:r>
          </w:p>
        </w:tc>
        <w:tc>
          <w:tcPr>
            <w:tcW w:w="1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5DB8C82" w14:textId="77777777" w:rsidR="00196315" w:rsidRPr="00A77F6C" w:rsidRDefault="00000000" w:rsidP="00BA5626">
            <w:pPr>
              <w:spacing w:after="40"/>
              <w:jc w:val="center"/>
              <w:rPr>
                <w:rFonts w:ascii="Verdana" w:hAnsi="Verdana"/>
                <w:lang w:val="en-US"/>
              </w:rPr>
            </w:pPr>
            <w:r w:rsidRPr="00A77F6C">
              <w:rPr>
                <w:rFonts w:ascii="Verdana" w:hAnsi="Verdana"/>
                <w:lang w:val="en-US"/>
              </w:rPr>
              <w:t>Fischer et al. (1979); Doneker &amp; Jirka (2007)</w:t>
            </w:r>
          </w:p>
        </w:tc>
      </w:tr>
      <w:tr w:rsidR="00196315" w:rsidRPr="00A77F6C" w14:paraId="7EB29DD8" w14:textId="77777777" w:rsidTr="00BA5626">
        <w:tc>
          <w:tcPr>
            <w:tcW w:w="13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FF6723C" w14:textId="77777777" w:rsidR="00196315" w:rsidRPr="00A77F6C" w:rsidRDefault="00000000" w:rsidP="00BA5626">
            <w:pPr>
              <w:spacing w:after="40"/>
              <w:jc w:val="center"/>
              <w:rPr>
                <w:rFonts w:ascii="Verdana" w:hAnsi="Verdana"/>
              </w:rPr>
            </w:pPr>
            <w:r w:rsidRPr="00A77F6C">
              <w:rPr>
                <w:rFonts w:ascii="Verdana" w:hAnsi="Verdana"/>
              </w:rPr>
              <w:t>2 – Simplificado</w:t>
            </w:r>
          </w:p>
        </w:tc>
        <w:tc>
          <w:tcPr>
            <w:tcW w:w="1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C894C93" w14:textId="77777777" w:rsidR="00196315" w:rsidRPr="00A77F6C" w:rsidRDefault="00000000" w:rsidP="00BA5626">
            <w:pPr>
              <w:spacing w:after="40"/>
              <w:jc w:val="center"/>
              <w:rPr>
                <w:rFonts w:ascii="Verdana" w:hAnsi="Verdana"/>
              </w:rPr>
            </w:pPr>
            <w:r w:rsidRPr="00A77F6C">
              <w:rPr>
                <w:rFonts w:ascii="Verdana" w:hAnsi="Verdana"/>
              </w:rPr>
              <w:t>0,15 ≤ Fd ≤ 0,20</w:t>
            </w:r>
          </w:p>
        </w:tc>
        <w:tc>
          <w:tcPr>
            <w:tcW w:w="25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1A4B8915" w14:textId="43B1D629" w:rsidR="00196315" w:rsidRPr="00A77F6C" w:rsidRDefault="00000000" w:rsidP="00BA5626">
            <w:pPr>
              <w:spacing w:after="40"/>
              <w:jc w:val="center"/>
              <w:rPr>
                <w:rFonts w:ascii="Verdana" w:hAnsi="Verdana"/>
              </w:rPr>
            </w:pPr>
            <w:r w:rsidRPr="00A77F6C">
              <w:rPr>
                <w:rFonts w:ascii="Verdana" w:hAnsi="Verdana"/>
              </w:rPr>
              <w:t>Temperatura en PCV, en T1 y en un punto central</w:t>
            </w:r>
            <w:r w:rsidR="00A77F6C" w:rsidRPr="00A77F6C">
              <w:rPr>
                <w:rFonts w:ascii="Verdana" w:hAnsi="Verdana"/>
              </w:rPr>
              <w:t xml:space="preserve"> o eje de pluma acorde a tipo de descarga (central u orilla)</w:t>
            </w:r>
            <w:r w:rsidRPr="00A77F6C">
              <w:rPr>
                <w:rFonts w:ascii="Verdana" w:hAnsi="Verdana"/>
              </w:rPr>
              <w:t xml:space="preserve"> de la sección a 100 m aguas abajo (profundidad 0,6h). Verificar ΔT ≤ 5,00 °C.</w:t>
            </w:r>
          </w:p>
        </w:tc>
        <w:tc>
          <w:tcPr>
            <w:tcW w:w="194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ED6B0C3" w14:textId="77777777" w:rsidR="00196315" w:rsidRPr="00A77F6C" w:rsidRDefault="00000000" w:rsidP="00BA5626">
            <w:pPr>
              <w:spacing w:after="40"/>
              <w:jc w:val="center"/>
              <w:rPr>
                <w:rFonts w:ascii="Verdana" w:hAnsi="Verdana"/>
              </w:rPr>
            </w:pPr>
            <w:r w:rsidRPr="00A77F6C">
              <w:rPr>
                <w:rFonts w:ascii="Verdana" w:hAnsi="Verdana"/>
              </w:rPr>
              <w:t>Impacto detectable pero moderado; variabilidad transversal baja; medición central representativa del promedio de la sección.</w:t>
            </w:r>
          </w:p>
        </w:tc>
        <w:tc>
          <w:tcPr>
            <w:tcW w:w="1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6D480347" w14:textId="77777777" w:rsidR="00196315" w:rsidRPr="00A77F6C" w:rsidRDefault="00000000" w:rsidP="00BA5626">
            <w:pPr>
              <w:spacing w:after="40"/>
              <w:jc w:val="center"/>
              <w:rPr>
                <w:rFonts w:ascii="Verdana" w:hAnsi="Verdana"/>
              </w:rPr>
            </w:pPr>
            <w:r w:rsidRPr="00A77F6C">
              <w:rPr>
                <w:rFonts w:ascii="Verdana" w:hAnsi="Verdana"/>
              </w:rPr>
              <w:t>Bleninger &amp; Jirka (2008); OMM (2020); ISO 748:2021</w:t>
            </w:r>
          </w:p>
        </w:tc>
      </w:tr>
      <w:tr w:rsidR="00196315" w:rsidRPr="00A77F6C" w14:paraId="2E96DC3F" w14:textId="77777777" w:rsidTr="00BA5626">
        <w:tc>
          <w:tcPr>
            <w:tcW w:w="13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55E6CC5" w14:textId="77777777" w:rsidR="00196315" w:rsidRPr="00A77F6C" w:rsidRDefault="00000000" w:rsidP="00BA5626">
            <w:pPr>
              <w:spacing w:after="40"/>
              <w:jc w:val="center"/>
              <w:rPr>
                <w:rFonts w:ascii="Verdana" w:hAnsi="Verdana"/>
              </w:rPr>
            </w:pPr>
            <w:r w:rsidRPr="00A77F6C">
              <w:rPr>
                <w:rFonts w:ascii="Verdana" w:hAnsi="Verdana"/>
              </w:rPr>
              <w:t>3 – Completo</w:t>
            </w:r>
          </w:p>
        </w:tc>
        <w:tc>
          <w:tcPr>
            <w:tcW w:w="1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327F7A70" w14:textId="77777777" w:rsidR="00196315" w:rsidRPr="00A77F6C" w:rsidRDefault="00000000" w:rsidP="00BA5626">
            <w:pPr>
              <w:spacing w:after="40"/>
              <w:jc w:val="center"/>
              <w:rPr>
                <w:rFonts w:ascii="Verdana" w:hAnsi="Verdana"/>
              </w:rPr>
            </w:pPr>
            <w:r w:rsidRPr="00A77F6C">
              <w:rPr>
                <w:rFonts w:ascii="Verdana" w:hAnsi="Verdana"/>
              </w:rPr>
              <w:t>Fd &gt; 0,20</w:t>
            </w:r>
          </w:p>
        </w:tc>
        <w:tc>
          <w:tcPr>
            <w:tcW w:w="25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5F88EF5B" w14:textId="77777777" w:rsidR="00196315" w:rsidRPr="00A77F6C" w:rsidRDefault="00000000" w:rsidP="00BA5626">
            <w:pPr>
              <w:spacing w:after="40"/>
              <w:jc w:val="center"/>
              <w:rPr>
                <w:rFonts w:ascii="Verdana" w:hAnsi="Verdana"/>
              </w:rPr>
            </w:pPr>
            <w:r w:rsidRPr="00A77F6C">
              <w:rPr>
                <w:rFonts w:ascii="Verdana" w:hAnsi="Verdana"/>
              </w:rPr>
              <w:t>Metodología completa del PMVA: sección transversal con verticales y profundidades según Tablas 7 y 8; comparación T1 vs. cada Ti según Tabla 6.</w:t>
            </w:r>
          </w:p>
        </w:tc>
        <w:tc>
          <w:tcPr>
            <w:tcW w:w="194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235359A4" w14:textId="77777777" w:rsidR="00196315" w:rsidRPr="00A77F6C" w:rsidRDefault="00000000" w:rsidP="00BA5626">
            <w:pPr>
              <w:spacing w:after="40"/>
              <w:jc w:val="center"/>
              <w:rPr>
                <w:rFonts w:ascii="Verdana" w:hAnsi="Verdana"/>
              </w:rPr>
            </w:pPr>
            <w:r w:rsidRPr="00A77F6C">
              <w:rPr>
                <w:rFonts w:ascii="Verdana" w:hAnsi="Verdana"/>
              </w:rPr>
              <w:t>Pluma térmica con extensión significativa en la sección transversal; se requiere resolución espacial completa para verificar cumplimiento.</w:t>
            </w:r>
          </w:p>
        </w:tc>
        <w:tc>
          <w:tcPr>
            <w:tcW w:w="1900" w:type="dxa"/>
            <w:tcBorders>
              <w:top w:val="single" w:sz="1" w:space="0" w:color="999999"/>
              <w:left w:val="single" w:sz="1" w:space="0" w:color="999999"/>
              <w:bottom w:val="single" w:sz="1" w:space="0" w:color="999999"/>
              <w:right w:val="single" w:sz="1" w:space="0" w:color="999999"/>
            </w:tcBorders>
            <w:tcMar>
              <w:top w:w="60" w:type="dxa"/>
              <w:left w:w="100" w:type="dxa"/>
              <w:bottom w:w="60" w:type="dxa"/>
              <w:right w:w="100" w:type="dxa"/>
            </w:tcMar>
            <w:vAlign w:val="center"/>
          </w:tcPr>
          <w:p w14:paraId="4FA2AB6A" w14:textId="77777777" w:rsidR="00196315" w:rsidRPr="00A77F6C" w:rsidRDefault="00000000" w:rsidP="00BA5626">
            <w:pPr>
              <w:spacing w:after="40"/>
              <w:jc w:val="center"/>
              <w:rPr>
                <w:rFonts w:ascii="Verdana" w:hAnsi="Verdana"/>
              </w:rPr>
            </w:pPr>
            <w:r w:rsidRPr="00A77F6C">
              <w:rPr>
                <w:rFonts w:ascii="Verdana" w:hAnsi="Verdana"/>
              </w:rPr>
              <w:t>Jirka et al. (1996); PMVA vigente</w:t>
            </w:r>
          </w:p>
        </w:tc>
      </w:tr>
    </w:tbl>
    <w:p w14:paraId="6C8C3573" w14:textId="77777777" w:rsidR="00196315" w:rsidRPr="00A77F6C" w:rsidRDefault="00196315">
      <w:pPr>
        <w:spacing w:after="120" w:line="276" w:lineRule="auto"/>
        <w:jc w:val="both"/>
        <w:rPr>
          <w:rFonts w:ascii="Verdana" w:hAnsi="Verdana"/>
        </w:rPr>
      </w:pPr>
    </w:p>
    <w:p w14:paraId="22C1E7FF" w14:textId="124E2811" w:rsidR="00A77F6C" w:rsidRPr="00A77F6C" w:rsidRDefault="00A77F6C" w:rsidP="00A77F6C">
      <w:pPr>
        <w:spacing w:after="120" w:line="276" w:lineRule="auto"/>
        <w:jc w:val="both"/>
        <w:rPr>
          <w:rFonts w:ascii="Verdana" w:hAnsi="Verdana"/>
        </w:rPr>
      </w:pPr>
      <w:r w:rsidRPr="00A77F6C">
        <w:rPr>
          <w:rFonts w:ascii="Verdana" w:hAnsi="Verdana"/>
          <w:b/>
          <w:bCs/>
        </w:rPr>
        <w:t>Nota:</w:t>
      </w:r>
      <w:r w:rsidRPr="00A77F6C">
        <w:rPr>
          <w:rFonts w:ascii="Verdana" w:hAnsi="Verdana"/>
        </w:rPr>
        <w:t xml:space="preserve"> El cálculo de la Fracción de Dilución (FD) para la asignación de niveles en todos los casos deberá realizarse cruzando el escenario más crítico: el caudal máximo de vertimiento (Qvert) frente a un escenario de estiaje del cuerpo receptor (Qreceptor).</w:t>
      </w:r>
    </w:p>
    <w:p w14:paraId="5DE3CFA8" w14:textId="77777777" w:rsidR="00A77F6C" w:rsidRPr="00A77F6C" w:rsidRDefault="00A77F6C">
      <w:pPr>
        <w:spacing w:after="120" w:line="276" w:lineRule="auto"/>
        <w:jc w:val="both"/>
        <w:rPr>
          <w:rFonts w:ascii="Verdana" w:hAnsi="Verdana"/>
        </w:rPr>
      </w:pPr>
    </w:p>
    <w:sectPr w:rsidR="00A77F6C" w:rsidRPr="00A77F6C">
      <w:headerReference w:type="default" r:id="rId7"/>
      <w:pgSz w:w="12240" w:h="15840"/>
      <w:pgMar w:top="1440" w:right="1260" w:bottom="126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0AE25" w14:textId="77777777" w:rsidR="00FC72ED" w:rsidRDefault="00FC72ED" w:rsidP="00BA5626">
      <w:r>
        <w:separator/>
      </w:r>
    </w:p>
  </w:endnote>
  <w:endnote w:type="continuationSeparator" w:id="0">
    <w:p w14:paraId="36ED4C32" w14:textId="77777777" w:rsidR="00FC72ED" w:rsidRDefault="00FC72ED" w:rsidP="00BA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3BB33" w14:textId="77777777" w:rsidR="00FC72ED" w:rsidRDefault="00FC72ED" w:rsidP="00BA5626">
      <w:r>
        <w:separator/>
      </w:r>
    </w:p>
  </w:footnote>
  <w:footnote w:type="continuationSeparator" w:id="0">
    <w:p w14:paraId="73FDECA5" w14:textId="77777777" w:rsidR="00FC72ED" w:rsidRDefault="00FC72ED" w:rsidP="00BA5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22FF" w14:textId="21013A57" w:rsidR="00BA5626" w:rsidRDefault="00BA5626">
    <w:pPr>
      <w:pStyle w:val="Encabezado"/>
    </w:pPr>
    <w:r>
      <w:rPr>
        <w:rFonts w:ascii="Verdana" w:hAnsi="Verdana"/>
        <w:noProof/>
      </w:rPr>
      <w:drawing>
        <wp:anchor distT="0" distB="0" distL="114300" distR="114300" simplePos="0" relativeHeight="251659264" behindDoc="1" locked="0" layoutInCell="1" allowOverlap="1" wp14:anchorId="6282D948" wp14:editId="0D2F7A86">
          <wp:simplePos x="0" y="0"/>
          <wp:positionH relativeFrom="margin">
            <wp:align>center</wp:align>
          </wp:positionH>
          <wp:positionV relativeFrom="paragraph">
            <wp:posOffset>-376555</wp:posOffset>
          </wp:positionV>
          <wp:extent cx="7741122" cy="10029825"/>
          <wp:effectExtent l="0" t="0" r="0" b="0"/>
          <wp:wrapNone/>
          <wp:docPr id="17391014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5096625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1122" cy="10029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1A3083" w14:textId="77777777" w:rsidR="00BA5626" w:rsidRDefault="00BA5626">
    <w:pPr>
      <w:pStyle w:val="Encabezado"/>
    </w:pPr>
  </w:p>
  <w:p w14:paraId="76C4DF53" w14:textId="136965D3" w:rsidR="00BA5626" w:rsidRDefault="00BA5626">
    <w:pPr>
      <w:pStyle w:val="Encabezado"/>
    </w:pPr>
  </w:p>
  <w:p w14:paraId="34BDF557" w14:textId="3062A203" w:rsidR="00BA5626" w:rsidRDefault="00BA5626">
    <w:pPr>
      <w:pStyle w:val="Encabezado"/>
    </w:pPr>
  </w:p>
  <w:p w14:paraId="3C188847" w14:textId="615F5308" w:rsidR="00BA5626" w:rsidRDefault="00BA562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5617E"/>
    <w:multiLevelType w:val="hybridMultilevel"/>
    <w:tmpl w:val="DC486022"/>
    <w:lvl w:ilvl="0" w:tplc="7B3C2020">
      <w:start w:val="1"/>
      <w:numFmt w:val="decimal"/>
      <w:lvlText w:val="%1."/>
      <w:lvlJc w:val="left"/>
      <w:pPr>
        <w:ind w:left="720" w:hanging="360"/>
      </w:pPr>
    </w:lvl>
    <w:lvl w:ilvl="1" w:tplc="AD80A4FC">
      <w:numFmt w:val="decimal"/>
      <w:lvlText w:val=""/>
      <w:lvlJc w:val="left"/>
    </w:lvl>
    <w:lvl w:ilvl="2" w:tplc="D7765E6E">
      <w:numFmt w:val="decimal"/>
      <w:lvlText w:val=""/>
      <w:lvlJc w:val="left"/>
    </w:lvl>
    <w:lvl w:ilvl="3" w:tplc="1438FB44">
      <w:numFmt w:val="decimal"/>
      <w:lvlText w:val=""/>
      <w:lvlJc w:val="left"/>
    </w:lvl>
    <w:lvl w:ilvl="4" w:tplc="1FEE6B34">
      <w:numFmt w:val="decimal"/>
      <w:lvlText w:val=""/>
      <w:lvlJc w:val="left"/>
    </w:lvl>
    <w:lvl w:ilvl="5" w:tplc="388CAED4">
      <w:numFmt w:val="decimal"/>
      <w:lvlText w:val=""/>
      <w:lvlJc w:val="left"/>
    </w:lvl>
    <w:lvl w:ilvl="6" w:tplc="A29496F2">
      <w:numFmt w:val="decimal"/>
      <w:lvlText w:val=""/>
      <w:lvlJc w:val="left"/>
    </w:lvl>
    <w:lvl w:ilvl="7" w:tplc="265AA8D4">
      <w:numFmt w:val="decimal"/>
      <w:lvlText w:val=""/>
      <w:lvlJc w:val="left"/>
    </w:lvl>
    <w:lvl w:ilvl="8" w:tplc="5FDE4C7C">
      <w:numFmt w:val="decimal"/>
      <w:lvlText w:val=""/>
      <w:lvlJc w:val="left"/>
    </w:lvl>
  </w:abstractNum>
  <w:abstractNum w:abstractNumId="1" w15:restartNumberingAfterBreak="0">
    <w:nsid w:val="2F353A7C"/>
    <w:multiLevelType w:val="hybridMultilevel"/>
    <w:tmpl w:val="B8180468"/>
    <w:lvl w:ilvl="0" w:tplc="6D9440EA">
      <w:start w:val="1"/>
      <w:numFmt w:val="bullet"/>
      <w:lvlText w:val="●"/>
      <w:lvlJc w:val="left"/>
      <w:pPr>
        <w:ind w:left="720" w:hanging="360"/>
      </w:pPr>
    </w:lvl>
    <w:lvl w:ilvl="1" w:tplc="A2C28EDC">
      <w:start w:val="1"/>
      <w:numFmt w:val="bullet"/>
      <w:lvlText w:val="○"/>
      <w:lvlJc w:val="left"/>
      <w:pPr>
        <w:ind w:left="1440" w:hanging="360"/>
      </w:pPr>
    </w:lvl>
    <w:lvl w:ilvl="2" w:tplc="07801032">
      <w:start w:val="1"/>
      <w:numFmt w:val="bullet"/>
      <w:lvlText w:val="■"/>
      <w:lvlJc w:val="left"/>
      <w:pPr>
        <w:ind w:left="2160" w:hanging="360"/>
      </w:pPr>
    </w:lvl>
    <w:lvl w:ilvl="3" w:tplc="943AE6B8">
      <w:start w:val="1"/>
      <w:numFmt w:val="bullet"/>
      <w:lvlText w:val="●"/>
      <w:lvlJc w:val="left"/>
      <w:pPr>
        <w:ind w:left="2880" w:hanging="360"/>
      </w:pPr>
    </w:lvl>
    <w:lvl w:ilvl="4" w:tplc="CEFC42D0">
      <w:start w:val="1"/>
      <w:numFmt w:val="bullet"/>
      <w:lvlText w:val="○"/>
      <w:lvlJc w:val="left"/>
      <w:pPr>
        <w:ind w:left="3600" w:hanging="360"/>
      </w:pPr>
    </w:lvl>
    <w:lvl w:ilvl="5" w:tplc="76DA00D6">
      <w:start w:val="1"/>
      <w:numFmt w:val="bullet"/>
      <w:lvlText w:val="■"/>
      <w:lvlJc w:val="left"/>
      <w:pPr>
        <w:ind w:left="4320" w:hanging="360"/>
      </w:pPr>
    </w:lvl>
    <w:lvl w:ilvl="6" w:tplc="4BAA20E4">
      <w:start w:val="1"/>
      <w:numFmt w:val="bullet"/>
      <w:lvlText w:val="●"/>
      <w:lvlJc w:val="left"/>
      <w:pPr>
        <w:ind w:left="5040" w:hanging="360"/>
      </w:pPr>
    </w:lvl>
    <w:lvl w:ilvl="7" w:tplc="2F02C3A4">
      <w:start w:val="1"/>
      <w:numFmt w:val="bullet"/>
      <w:lvlText w:val="●"/>
      <w:lvlJc w:val="left"/>
      <w:pPr>
        <w:ind w:left="5760" w:hanging="360"/>
      </w:pPr>
    </w:lvl>
    <w:lvl w:ilvl="8" w:tplc="E1D64F7E">
      <w:start w:val="1"/>
      <w:numFmt w:val="bullet"/>
      <w:lvlText w:val="●"/>
      <w:lvlJc w:val="left"/>
      <w:pPr>
        <w:ind w:left="6480" w:hanging="360"/>
      </w:pPr>
    </w:lvl>
  </w:abstractNum>
  <w:abstractNum w:abstractNumId="2" w15:restartNumberingAfterBreak="0">
    <w:nsid w:val="5EF6536E"/>
    <w:multiLevelType w:val="hybridMultilevel"/>
    <w:tmpl w:val="CC7C4C70"/>
    <w:lvl w:ilvl="0" w:tplc="E266F6F2">
      <w:start w:val="1"/>
      <w:numFmt w:val="bullet"/>
      <w:lvlText w:val="•"/>
      <w:lvlJc w:val="left"/>
      <w:pPr>
        <w:ind w:left="720" w:hanging="360"/>
      </w:pPr>
    </w:lvl>
    <w:lvl w:ilvl="1" w:tplc="43CA2804">
      <w:start w:val="1"/>
      <w:numFmt w:val="bullet"/>
      <w:lvlText w:val="○"/>
      <w:lvlJc w:val="left"/>
      <w:pPr>
        <w:ind w:left="1080" w:hanging="360"/>
      </w:pPr>
    </w:lvl>
    <w:lvl w:ilvl="2" w:tplc="84540658">
      <w:numFmt w:val="decimal"/>
      <w:lvlText w:val=""/>
      <w:lvlJc w:val="left"/>
    </w:lvl>
    <w:lvl w:ilvl="3" w:tplc="B9AA589E">
      <w:numFmt w:val="decimal"/>
      <w:lvlText w:val=""/>
      <w:lvlJc w:val="left"/>
    </w:lvl>
    <w:lvl w:ilvl="4" w:tplc="F9BEB9B2">
      <w:numFmt w:val="decimal"/>
      <w:lvlText w:val=""/>
      <w:lvlJc w:val="left"/>
    </w:lvl>
    <w:lvl w:ilvl="5" w:tplc="718A540A">
      <w:numFmt w:val="decimal"/>
      <w:lvlText w:val=""/>
      <w:lvlJc w:val="left"/>
    </w:lvl>
    <w:lvl w:ilvl="6" w:tplc="84C280A6">
      <w:numFmt w:val="decimal"/>
      <w:lvlText w:val=""/>
      <w:lvlJc w:val="left"/>
    </w:lvl>
    <w:lvl w:ilvl="7" w:tplc="EAAC7146">
      <w:numFmt w:val="decimal"/>
      <w:lvlText w:val=""/>
      <w:lvlJc w:val="left"/>
    </w:lvl>
    <w:lvl w:ilvl="8" w:tplc="0936B87A">
      <w:numFmt w:val="decimal"/>
      <w:lvlText w:val=""/>
      <w:lvlJc w:val="left"/>
    </w:lvl>
  </w:abstractNum>
  <w:abstractNum w:abstractNumId="3" w15:restartNumberingAfterBreak="0">
    <w:nsid w:val="6AD539AE"/>
    <w:multiLevelType w:val="hybridMultilevel"/>
    <w:tmpl w:val="3208C0B4"/>
    <w:lvl w:ilvl="0" w:tplc="5BEA8BFA">
      <w:start w:val="1"/>
      <w:numFmt w:val="lowerLetter"/>
      <w:lvlText w:val="%1)"/>
      <w:lvlJc w:val="left"/>
      <w:pPr>
        <w:ind w:left="720" w:hanging="360"/>
      </w:pPr>
    </w:lvl>
    <w:lvl w:ilvl="1" w:tplc="7B8E630E">
      <w:numFmt w:val="decimal"/>
      <w:lvlText w:val=""/>
      <w:lvlJc w:val="left"/>
    </w:lvl>
    <w:lvl w:ilvl="2" w:tplc="983CB410">
      <w:numFmt w:val="decimal"/>
      <w:lvlText w:val=""/>
      <w:lvlJc w:val="left"/>
    </w:lvl>
    <w:lvl w:ilvl="3" w:tplc="53461B44">
      <w:numFmt w:val="decimal"/>
      <w:lvlText w:val=""/>
      <w:lvlJc w:val="left"/>
    </w:lvl>
    <w:lvl w:ilvl="4" w:tplc="8552256C">
      <w:numFmt w:val="decimal"/>
      <w:lvlText w:val=""/>
      <w:lvlJc w:val="left"/>
    </w:lvl>
    <w:lvl w:ilvl="5" w:tplc="FF108FA4">
      <w:numFmt w:val="decimal"/>
      <w:lvlText w:val=""/>
      <w:lvlJc w:val="left"/>
    </w:lvl>
    <w:lvl w:ilvl="6" w:tplc="04465AC0">
      <w:numFmt w:val="decimal"/>
      <w:lvlText w:val=""/>
      <w:lvlJc w:val="left"/>
    </w:lvl>
    <w:lvl w:ilvl="7" w:tplc="F5EC073E">
      <w:numFmt w:val="decimal"/>
      <w:lvlText w:val=""/>
      <w:lvlJc w:val="left"/>
    </w:lvl>
    <w:lvl w:ilvl="8" w:tplc="112C2270">
      <w:numFmt w:val="decimal"/>
      <w:lvlText w:val=""/>
      <w:lvlJc w:val="left"/>
    </w:lvl>
  </w:abstractNum>
  <w:num w:numId="1" w16cid:durableId="859978262">
    <w:abstractNumId w:val="1"/>
    <w:lvlOverride w:ilvl="0">
      <w:startOverride w:val="1"/>
    </w:lvlOverride>
  </w:num>
  <w:num w:numId="2" w16cid:durableId="52893664">
    <w:abstractNumId w:val="2"/>
    <w:lvlOverride w:ilvl="0">
      <w:startOverride w:val="1"/>
    </w:lvlOverride>
  </w:num>
  <w:num w:numId="3" w16cid:durableId="68474482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315"/>
    <w:rsid w:val="001875A1"/>
    <w:rsid w:val="00196315"/>
    <w:rsid w:val="00214C29"/>
    <w:rsid w:val="00221E3C"/>
    <w:rsid w:val="003D0C62"/>
    <w:rsid w:val="006958D8"/>
    <w:rsid w:val="008C0CD2"/>
    <w:rsid w:val="00A324D5"/>
    <w:rsid w:val="00A77F6C"/>
    <w:rsid w:val="00BA5626"/>
    <w:rsid w:val="00C81ADB"/>
    <w:rsid w:val="00D62241"/>
    <w:rsid w:val="00E311F0"/>
    <w:rsid w:val="00EC71B6"/>
    <w:rsid w:val="00FC72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0216F"/>
  <w15:docId w15:val="{3161800F-139F-462E-AA88-135DCF357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spacing w:before="360" w:after="240"/>
      <w:outlineLvl w:val="0"/>
    </w:pPr>
    <w:rPr>
      <w:b/>
      <w:bCs/>
      <w:color w:val="2E5090"/>
      <w:sz w:val="28"/>
      <w:szCs w:val="28"/>
    </w:rPr>
  </w:style>
  <w:style w:type="paragraph" w:styleId="Ttulo2">
    <w:name w:val="heading 2"/>
    <w:uiPriority w:val="9"/>
    <w:unhideWhenUsed/>
    <w:qFormat/>
    <w:pPr>
      <w:spacing w:before="240" w:after="180"/>
      <w:outlineLvl w:val="1"/>
    </w:pPr>
    <w:rPr>
      <w:b/>
      <w:bCs/>
      <w:color w:val="2E5090"/>
      <w:sz w:val="24"/>
      <w:szCs w:val="24"/>
    </w:rPr>
  </w:style>
  <w:style w:type="paragraph" w:styleId="Ttulo3">
    <w:name w:val="heading 3"/>
    <w:uiPriority w:val="9"/>
    <w:semiHidden/>
    <w:unhideWhenUsed/>
    <w:qFormat/>
    <w:pPr>
      <w:spacing w:before="200" w:after="120"/>
      <w:outlineLvl w:val="2"/>
    </w:pPr>
    <w:rPr>
      <w:b/>
      <w:bCs/>
      <w:color w:val="3A6EA5"/>
      <w:sz w:val="22"/>
      <w:szCs w:val="22"/>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uiPriority w:val="10"/>
    <w:qFormat/>
    <w:rPr>
      <w:sz w:val="56"/>
      <w:szCs w:val="56"/>
    </w:rPr>
  </w:style>
  <w:style w:type="paragraph" w:customStyle="1" w:styleId="Fuerte1">
    <w:name w:val="Fuerte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style>
  <w:style w:type="character" w:customStyle="1" w:styleId="TextonotapieCar">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style>
  <w:style w:type="character" w:customStyle="1" w:styleId="TextonotaalfinalCar">
    <w:name w:val="Texto nota al final Car"/>
    <w:link w:val="Textonotaalfinal"/>
    <w:uiPriority w:val="99"/>
    <w:semiHidden/>
    <w:unhideWhenUsed/>
    <w:rPr>
      <w:sz w:val="20"/>
      <w:szCs w:val="20"/>
    </w:rPr>
  </w:style>
  <w:style w:type="paragraph" w:styleId="Encabezado">
    <w:name w:val="header"/>
    <w:basedOn w:val="Normal"/>
    <w:link w:val="EncabezadoCar"/>
    <w:uiPriority w:val="99"/>
    <w:unhideWhenUsed/>
    <w:rsid w:val="00BA5626"/>
    <w:pPr>
      <w:tabs>
        <w:tab w:val="center" w:pos="4419"/>
        <w:tab w:val="right" w:pos="8838"/>
      </w:tabs>
    </w:pPr>
  </w:style>
  <w:style w:type="character" w:customStyle="1" w:styleId="EncabezadoCar">
    <w:name w:val="Encabezado Car"/>
    <w:basedOn w:val="Fuentedeprrafopredeter"/>
    <w:link w:val="Encabezado"/>
    <w:uiPriority w:val="99"/>
    <w:rsid w:val="00BA5626"/>
  </w:style>
  <w:style w:type="paragraph" w:styleId="Piedepgina">
    <w:name w:val="footer"/>
    <w:basedOn w:val="Normal"/>
    <w:link w:val="PiedepginaCar"/>
    <w:uiPriority w:val="99"/>
    <w:unhideWhenUsed/>
    <w:rsid w:val="00BA5626"/>
    <w:pPr>
      <w:tabs>
        <w:tab w:val="center" w:pos="4419"/>
        <w:tab w:val="right" w:pos="8838"/>
      </w:tabs>
    </w:pPr>
  </w:style>
  <w:style w:type="character" w:customStyle="1" w:styleId="PiedepginaCar">
    <w:name w:val="Pie de página Car"/>
    <w:basedOn w:val="Fuentedeprrafopredeter"/>
    <w:link w:val="Piedepgina"/>
    <w:uiPriority w:val="99"/>
    <w:rsid w:val="00BA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97</TotalTime>
  <Pages>5</Pages>
  <Words>2137</Words>
  <Characters>11754</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Administrador</cp:lastModifiedBy>
  <cp:revision>5</cp:revision>
  <dcterms:created xsi:type="dcterms:W3CDTF">2026-04-15T15:02:00Z</dcterms:created>
  <dcterms:modified xsi:type="dcterms:W3CDTF">2026-04-15T17:03:00Z</dcterms:modified>
</cp:coreProperties>
</file>